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DD279" w14:textId="77777777" w:rsidR="00695D12" w:rsidRPr="00143962" w:rsidRDefault="00695D12" w:rsidP="00143962">
      <w:pPr>
        <w:tabs>
          <w:tab w:val="left" w:pos="708"/>
          <w:tab w:val="left" w:pos="1416"/>
          <w:tab w:val="left" w:pos="7995"/>
        </w:tabs>
        <w:jc w:val="both"/>
        <w:rPr>
          <w:rFonts w:ascii="Times New Roman" w:hAnsi="Times New Roman" w:cs="Times New Roman"/>
          <w:iCs/>
          <w:lang w:val="pl-PL"/>
        </w:rPr>
      </w:pPr>
      <w:bookmarkStart w:id="0" w:name="_GoBack"/>
      <w:bookmarkEnd w:id="0"/>
      <w:r w:rsidRPr="00143962">
        <w:rPr>
          <w:rFonts w:ascii="Times New Roman" w:hAnsi="Times New Roman" w:cs="Times New Roman"/>
          <w:iCs/>
          <w:lang w:val="pl-PL"/>
        </w:rPr>
        <w:t xml:space="preserve">             </w:t>
      </w:r>
      <w:r w:rsidRPr="00143962">
        <w:rPr>
          <w:rFonts w:ascii="Times New Roman" w:hAnsi="Times New Roman" w:cs="Times New Roman"/>
          <w:iCs/>
          <w:lang w:val="pl-PL"/>
        </w:rPr>
        <w:tab/>
        <w:t xml:space="preserve">       </w:t>
      </w:r>
    </w:p>
    <w:p w14:paraId="0B4DD27A" w14:textId="77777777" w:rsidR="00695D12" w:rsidRDefault="00695D12" w:rsidP="00143962">
      <w:pPr>
        <w:jc w:val="right"/>
        <w:rPr>
          <w:rFonts w:ascii="CarolinaBar-B39-25F2" w:hAnsi="CarolinaBar-B39-25F2"/>
          <w:sz w:val="32"/>
          <w:szCs w:val="32"/>
        </w:rPr>
        <w:sectPr w:rsidR="00695D12" w:rsidSect="00143962">
          <w:type w:val="continuous"/>
          <w:pgSz w:w="11906" w:h="16838" w:code="9"/>
          <w:pgMar w:top="993" w:right="1080" w:bottom="1440" w:left="1080" w:header="709" w:footer="709" w:gutter="0"/>
          <w:paperSrc w:first="14"/>
          <w:cols w:num="2" w:space="708"/>
          <w:docGrid w:linePitch="360"/>
        </w:sectPr>
      </w:pPr>
      <w:r>
        <w:rPr>
          <w:rFonts w:ascii="CarolinaBar-B39-25F2" w:hAnsi="CarolinaBar-B39-25F2"/>
          <w:sz w:val="32"/>
          <w:szCs w:val="32"/>
        </w:rPr>
        <w:t>*P/</w:t>
      </w:r>
      <w:r>
        <w:rPr>
          <w:rFonts w:ascii="CarolinaBar-B39-25F2" w:hAnsi="CarolinaBar-B39-25F2"/>
          <w:sz w:val="32"/>
          <w:szCs w:val="32"/>
        </w:rPr>
        <w:fldChar w:fldCharType="begin">
          <w:ffData>
            <w:name w:val="Jop"/>
            <w:enabled/>
            <w:calcOnExit w:val="0"/>
            <w:textInput/>
          </w:ffData>
        </w:fldChar>
      </w:r>
      <w:bookmarkStart w:id="1" w:name="Jop"/>
      <w:r>
        <w:rPr>
          <w:rFonts w:ascii="CarolinaBar-B39-25F2" w:hAnsi="CarolinaBar-B39-25F2"/>
          <w:sz w:val="32"/>
          <w:szCs w:val="32"/>
        </w:rPr>
        <w:instrText xml:space="preserve"> FORMTEXT </w:instrText>
      </w:r>
      <w:r>
        <w:rPr>
          <w:rFonts w:ascii="CarolinaBar-B39-25F2" w:hAnsi="CarolinaBar-B39-25F2"/>
          <w:sz w:val="32"/>
          <w:szCs w:val="32"/>
        </w:rPr>
      </w:r>
      <w:r>
        <w:rPr>
          <w:rFonts w:ascii="CarolinaBar-B39-25F2" w:hAnsi="CarolinaBar-B39-25F2"/>
          <w:sz w:val="32"/>
          <w:szCs w:val="32"/>
        </w:rPr>
        <w:fldChar w:fldCharType="separate"/>
      </w:r>
      <w:r>
        <w:rPr>
          <w:rFonts w:ascii="CarolinaBar-B39-25F2" w:hAnsi="CarolinaBar-B39-25F2"/>
          <w:sz w:val="32"/>
          <w:szCs w:val="32"/>
        </w:rPr>
        <w:t>9124194</w:t>
      </w:r>
      <w:r>
        <w:rPr>
          <w:rFonts w:ascii="CarolinaBar-B39-25F2" w:hAnsi="CarolinaBar-B39-25F2"/>
          <w:sz w:val="32"/>
          <w:szCs w:val="32"/>
        </w:rPr>
        <w:fldChar w:fldCharType="end"/>
      </w:r>
      <w:bookmarkEnd w:id="1"/>
      <w:r>
        <w:rPr>
          <w:rFonts w:ascii="CarolinaBar-B39-25F2" w:hAnsi="CarolinaBar-B39-25F2"/>
          <w:sz w:val="32"/>
          <w:szCs w:val="32"/>
        </w:rPr>
        <w:t>*</w:t>
      </w:r>
    </w:p>
    <w:p w14:paraId="0B4DD27B" w14:textId="77777777" w:rsidR="00695D12" w:rsidRPr="00143962" w:rsidRDefault="00695D12" w:rsidP="00092B44">
      <w:pPr>
        <w:rPr>
          <w:rFonts w:ascii="Times New Roman" w:hAnsi="Times New Roman" w:cs="Times New Roman"/>
          <w:noProof/>
        </w:rPr>
      </w:pPr>
    </w:p>
    <w:p w14:paraId="0B4DD27C" w14:textId="77777777" w:rsidR="00695D12" w:rsidRPr="00143962" w:rsidRDefault="00695D12" w:rsidP="00092B44">
      <w:pPr>
        <w:rPr>
          <w:rFonts w:ascii="Times New Roman" w:hAnsi="Times New Roman" w:cs="Times New Roman"/>
          <w:noProof/>
        </w:rPr>
      </w:pPr>
    </w:p>
    <w:p w14:paraId="0B4DD287" w14:textId="77777777" w:rsidR="00695D12" w:rsidRPr="00143962" w:rsidRDefault="00695D12" w:rsidP="00F63743">
      <w:pPr>
        <w:rPr>
          <w:rFonts w:ascii="Times New Roman" w:hAnsi="Times New Roman" w:cs="Times New Roman"/>
          <w:b/>
        </w:rPr>
      </w:pPr>
    </w:p>
    <w:p w14:paraId="12B7A8B2" w14:textId="77777777" w:rsidR="00D65C3B" w:rsidRPr="00D65C3B" w:rsidRDefault="00D65C3B" w:rsidP="00D65C3B">
      <w:pPr>
        <w:pBdr>
          <w:bottom w:val="single" w:sz="12" w:space="1" w:color="auto"/>
        </w:pBdr>
        <w:tabs>
          <w:tab w:val="left" w:pos="567"/>
          <w:tab w:val="left" w:pos="1134"/>
          <w:tab w:val="left" w:pos="1701"/>
          <w:tab w:val="left" w:pos="2268"/>
        </w:tabs>
        <w:suppressAutoHyphens/>
        <w:spacing w:line="360" w:lineRule="auto"/>
        <w:jc w:val="center"/>
        <w:rPr>
          <w:rFonts w:ascii="Times New Roman" w:eastAsia="Calibri" w:hAnsi="Times New Roman" w:cs="Times New Roman"/>
          <w:b/>
          <w:sz w:val="28"/>
          <w:szCs w:val="28"/>
          <w:lang w:eastAsia="en-US"/>
        </w:rPr>
      </w:pPr>
      <w:bookmarkStart w:id="2" w:name="_Toc45878544"/>
      <w:bookmarkStart w:id="3" w:name="_Hlk103173952"/>
      <w:r w:rsidRPr="00D65C3B">
        <w:rPr>
          <w:rFonts w:ascii="Times New Roman" w:eastAsia="Calibri" w:hAnsi="Times New Roman" w:cs="Times New Roman"/>
          <w:b/>
          <w:sz w:val="28"/>
          <w:szCs w:val="28"/>
          <w:lang w:eastAsia="en-US"/>
        </w:rPr>
        <w:t>REPUBLIKA HRVATSKA</w:t>
      </w:r>
    </w:p>
    <w:p w14:paraId="2ACF5FC0" w14:textId="77777777" w:rsidR="00D65C3B" w:rsidRPr="00D65C3B" w:rsidRDefault="00D65C3B" w:rsidP="00D65C3B">
      <w:pPr>
        <w:pBdr>
          <w:bottom w:val="single" w:sz="12" w:space="1" w:color="auto"/>
        </w:pBdr>
        <w:tabs>
          <w:tab w:val="left" w:pos="567"/>
          <w:tab w:val="left" w:pos="1134"/>
          <w:tab w:val="left" w:pos="1701"/>
          <w:tab w:val="left" w:pos="2268"/>
        </w:tabs>
        <w:suppressAutoHyphens/>
        <w:spacing w:line="360" w:lineRule="auto"/>
        <w:jc w:val="center"/>
        <w:rPr>
          <w:rFonts w:ascii="Times New Roman" w:eastAsia="Calibri" w:hAnsi="Times New Roman" w:cs="Times New Roman"/>
          <w:b/>
          <w:sz w:val="28"/>
          <w:szCs w:val="28"/>
          <w:lang w:eastAsia="en-US"/>
        </w:rPr>
      </w:pPr>
      <w:r w:rsidRPr="00D65C3B">
        <w:rPr>
          <w:rFonts w:ascii="Times New Roman" w:eastAsia="Calibri" w:hAnsi="Times New Roman" w:cs="Times New Roman"/>
          <w:b/>
          <w:sz w:val="28"/>
          <w:szCs w:val="28"/>
          <w:lang w:eastAsia="en-US"/>
        </w:rPr>
        <w:t>MINISTARSTVO POLJOPRIVREDE, ŠUMARSTVA I RIBARSTVA</w:t>
      </w:r>
    </w:p>
    <w:p w14:paraId="70990D3B" w14:textId="77777777" w:rsidR="00D65C3B" w:rsidRPr="00D65C3B" w:rsidRDefault="00D65C3B" w:rsidP="00D65C3B">
      <w:pPr>
        <w:jc w:val="center"/>
        <w:rPr>
          <w:rFonts w:ascii="Times New Roman" w:hAnsi="Times New Roman" w:cs="Times New Roman"/>
          <w:b/>
          <w:lang w:eastAsia="en-US"/>
        </w:rPr>
      </w:pPr>
    </w:p>
    <w:p w14:paraId="3A9D9163" w14:textId="77777777" w:rsidR="00D65C3B" w:rsidRPr="00D65C3B" w:rsidRDefault="00D65C3B" w:rsidP="00D65C3B">
      <w:pPr>
        <w:jc w:val="center"/>
        <w:rPr>
          <w:rFonts w:ascii="Times New Roman" w:hAnsi="Times New Roman" w:cs="Times New Roman"/>
          <w:b/>
          <w:lang w:eastAsia="en-US"/>
        </w:rPr>
      </w:pPr>
    </w:p>
    <w:p w14:paraId="49DF4DAB" w14:textId="77777777" w:rsidR="00D65C3B" w:rsidRPr="00D65C3B" w:rsidRDefault="00D65C3B" w:rsidP="00D65C3B">
      <w:pPr>
        <w:jc w:val="center"/>
        <w:rPr>
          <w:rFonts w:ascii="Times New Roman" w:hAnsi="Times New Roman" w:cs="Times New Roman"/>
          <w:b/>
          <w:lang w:eastAsia="en-US"/>
        </w:rPr>
      </w:pPr>
    </w:p>
    <w:p w14:paraId="16B376A2" w14:textId="77777777" w:rsidR="00D65C3B" w:rsidRPr="00D65C3B" w:rsidRDefault="00D65C3B" w:rsidP="00D65C3B">
      <w:pPr>
        <w:jc w:val="center"/>
        <w:rPr>
          <w:rFonts w:ascii="Times New Roman" w:hAnsi="Times New Roman" w:cs="Times New Roman"/>
          <w:b/>
          <w:lang w:eastAsia="en-US"/>
        </w:rPr>
      </w:pPr>
    </w:p>
    <w:p w14:paraId="7DDAF2B3" w14:textId="77777777" w:rsidR="00D65C3B" w:rsidRPr="00D65C3B" w:rsidRDefault="00D65C3B" w:rsidP="00D65C3B">
      <w:pPr>
        <w:jc w:val="center"/>
        <w:rPr>
          <w:rFonts w:ascii="Times New Roman" w:hAnsi="Times New Roman" w:cs="Times New Roman"/>
          <w:b/>
          <w:lang w:eastAsia="en-US"/>
        </w:rPr>
      </w:pPr>
      <w:r w:rsidRPr="00D65C3B">
        <w:rPr>
          <w:rFonts w:ascii="Times New Roman" w:hAnsi="Times New Roman" w:cs="Times New Roman"/>
          <w:b/>
          <w:noProof/>
        </w:rPr>
        <w:drawing>
          <wp:inline distT="0" distB="0" distL="0" distR="0" wp14:anchorId="2939563D" wp14:editId="17AE3A0E">
            <wp:extent cx="914400" cy="1028700"/>
            <wp:effectExtent l="0" t="0" r="0" b="0"/>
            <wp:docPr id="2" name="Slika 2" descr="Slika na kojoj se prikazuje simbol, emblem&#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simbol, emblem&#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inline>
        </w:drawing>
      </w:r>
    </w:p>
    <w:p w14:paraId="539DB2AA" w14:textId="77777777" w:rsidR="00D65C3B" w:rsidRPr="00D65C3B" w:rsidRDefault="00D65C3B" w:rsidP="00D65C3B">
      <w:pPr>
        <w:jc w:val="center"/>
        <w:rPr>
          <w:rFonts w:ascii="Times New Roman" w:hAnsi="Times New Roman" w:cs="Times New Roman"/>
          <w:b/>
          <w:lang w:eastAsia="en-US"/>
        </w:rPr>
      </w:pPr>
    </w:p>
    <w:p w14:paraId="63DC047D" w14:textId="77777777" w:rsidR="00D65C3B" w:rsidRPr="00D65C3B" w:rsidRDefault="00D65C3B" w:rsidP="00D65C3B">
      <w:pPr>
        <w:jc w:val="center"/>
        <w:rPr>
          <w:rFonts w:ascii="Times New Roman" w:hAnsi="Times New Roman" w:cs="Times New Roman"/>
          <w:b/>
          <w:lang w:eastAsia="en-US"/>
        </w:rPr>
      </w:pPr>
    </w:p>
    <w:p w14:paraId="0AA51C5C" w14:textId="77777777" w:rsidR="00D65C3B" w:rsidRPr="00D65C3B" w:rsidRDefault="00D65C3B" w:rsidP="00D65C3B">
      <w:pPr>
        <w:jc w:val="center"/>
        <w:rPr>
          <w:rFonts w:ascii="Times New Roman" w:hAnsi="Times New Roman" w:cs="Times New Roman"/>
          <w:b/>
          <w:lang w:eastAsia="en-US"/>
        </w:rPr>
      </w:pPr>
    </w:p>
    <w:p w14:paraId="7B3DACF1" w14:textId="77777777" w:rsidR="00D65C3B" w:rsidRPr="00D65C3B" w:rsidRDefault="00D65C3B" w:rsidP="00D65C3B">
      <w:pPr>
        <w:rPr>
          <w:rFonts w:ascii="Times New Roman" w:hAnsi="Times New Roman" w:cs="Times New Roman"/>
          <w:b/>
          <w:lang w:eastAsia="en-US"/>
        </w:rPr>
      </w:pPr>
    </w:p>
    <w:p w14:paraId="08208A3F" w14:textId="77777777" w:rsidR="00D65C3B" w:rsidRPr="00D65C3B" w:rsidRDefault="00D65C3B" w:rsidP="00D65C3B">
      <w:pPr>
        <w:spacing w:line="276" w:lineRule="auto"/>
        <w:rPr>
          <w:rFonts w:ascii="Times New Roman" w:hAnsi="Times New Roman" w:cs="Times New Roman"/>
          <w:b/>
          <w:lang w:eastAsia="en-US"/>
        </w:rPr>
      </w:pPr>
    </w:p>
    <w:p w14:paraId="63644D8E" w14:textId="77777777" w:rsidR="00D65C3B" w:rsidRPr="00D65C3B" w:rsidRDefault="00D65C3B" w:rsidP="00D65C3B">
      <w:pPr>
        <w:spacing w:line="360" w:lineRule="auto"/>
        <w:contextualSpacing/>
        <w:jc w:val="center"/>
        <w:rPr>
          <w:rFonts w:ascii="Times New Roman" w:eastAsiaTheme="majorEastAsia" w:hAnsi="Times New Roman" w:cstheme="majorBidi"/>
          <w:b/>
          <w:color w:val="auto"/>
          <w:spacing w:val="-10"/>
          <w:kern w:val="28"/>
          <w:sz w:val="32"/>
          <w:szCs w:val="56"/>
        </w:rPr>
      </w:pPr>
      <w:bookmarkStart w:id="4" w:name="_Hlk139379700"/>
      <w:r w:rsidRPr="00D65C3B">
        <w:rPr>
          <w:rFonts w:ascii="Times New Roman" w:eastAsiaTheme="majorEastAsia" w:hAnsi="Times New Roman" w:cstheme="majorBidi"/>
          <w:b/>
          <w:color w:val="auto"/>
          <w:spacing w:val="-10"/>
          <w:kern w:val="28"/>
          <w:sz w:val="32"/>
          <w:szCs w:val="56"/>
        </w:rPr>
        <w:t>PROGRAM POTPORE ISTRAŽIVANJA USMJERENIH NA UNAPRJEĐENJE KVALITETE SADNOG MATERIJALA LOZE ZA RAZDOBLJE OD 2024. DO 2029. GODINE</w:t>
      </w:r>
      <w:bookmarkEnd w:id="4"/>
    </w:p>
    <w:p w14:paraId="1A00230B" w14:textId="77777777" w:rsidR="00D65C3B" w:rsidRPr="00D65C3B" w:rsidRDefault="00D65C3B" w:rsidP="00D65C3B">
      <w:pPr>
        <w:spacing w:before="120" w:after="120" w:line="276" w:lineRule="auto"/>
        <w:jc w:val="center"/>
        <w:rPr>
          <w:rFonts w:ascii="Times New Roman" w:hAnsi="Times New Roman" w:cs="Times New Roman"/>
          <w:b/>
          <w:sz w:val="32"/>
        </w:rPr>
      </w:pPr>
    </w:p>
    <w:p w14:paraId="124D2A66" w14:textId="77777777" w:rsidR="00D65C3B" w:rsidRPr="00D65C3B" w:rsidRDefault="00D65C3B" w:rsidP="00D65C3B">
      <w:pPr>
        <w:jc w:val="center"/>
        <w:rPr>
          <w:rFonts w:ascii="Times New Roman" w:hAnsi="Times New Roman" w:cs="Times New Roman"/>
          <w:b/>
          <w:lang w:eastAsia="en-US"/>
        </w:rPr>
      </w:pPr>
    </w:p>
    <w:p w14:paraId="356056E2" w14:textId="77777777" w:rsidR="00D65C3B" w:rsidRPr="00D65C3B" w:rsidRDefault="00D65C3B" w:rsidP="00D65C3B">
      <w:pPr>
        <w:rPr>
          <w:rFonts w:ascii="Times New Roman" w:hAnsi="Times New Roman" w:cs="Times New Roman"/>
          <w:b/>
          <w:lang w:eastAsia="en-US"/>
        </w:rPr>
      </w:pPr>
    </w:p>
    <w:p w14:paraId="4BF1EF0C" w14:textId="77777777" w:rsidR="00D65C3B" w:rsidRPr="00D65C3B" w:rsidRDefault="00D65C3B" w:rsidP="00D65C3B">
      <w:pPr>
        <w:jc w:val="center"/>
        <w:rPr>
          <w:rFonts w:ascii="Times New Roman" w:hAnsi="Times New Roman" w:cs="Times New Roman"/>
          <w:b/>
          <w:lang w:eastAsia="en-US"/>
        </w:rPr>
      </w:pPr>
    </w:p>
    <w:p w14:paraId="1B6C7C20" w14:textId="77777777" w:rsidR="00D65C3B" w:rsidRPr="00D65C3B" w:rsidRDefault="00D65C3B" w:rsidP="00D65C3B">
      <w:pPr>
        <w:jc w:val="center"/>
        <w:rPr>
          <w:rFonts w:ascii="Times New Roman" w:hAnsi="Times New Roman" w:cs="Times New Roman"/>
          <w:b/>
          <w:lang w:eastAsia="en-US"/>
        </w:rPr>
      </w:pPr>
    </w:p>
    <w:p w14:paraId="2BE28628" w14:textId="77777777" w:rsidR="00D65C3B" w:rsidRPr="00D65C3B" w:rsidRDefault="00D65C3B" w:rsidP="00D65C3B">
      <w:pPr>
        <w:jc w:val="center"/>
        <w:rPr>
          <w:rFonts w:ascii="Times New Roman" w:hAnsi="Times New Roman" w:cs="Times New Roman"/>
          <w:b/>
          <w:lang w:eastAsia="en-US"/>
        </w:rPr>
      </w:pPr>
    </w:p>
    <w:p w14:paraId="2C417EA7" w14:textId="77777777" w:rsidR="00D65C3B" w:rsidRPr="00D65C3B" w:rsidRDefault="00D65C3B" w:rsidP="00D65C3B">
      <w:pPr>
        <w:jc w:val="center"/>
        <w:rPr>
          <w:rFonts w:ascii="Times New Roman" w:hAnsi="Times New Roman" w:cs="Times New Roman"/>
          <w:b/>
          <w:lang w:eastAsia="en-US"/>
        </w:rPr>
      </w:pPr>
    </w:p>
    <w:p w14:paraId="67A4A981" w14:textId="77777777" w:rsidR="00D65C3B" w:rsidRPr="00D65C3B" w:rsidRDefault="00D65C3B" w:rsidP="00D65C3B">
      <w:pPr>
        <w:jc w:val="center"/>
        <w:rPr>
          <w:rFonts w:ascii="Times New Roman" w:hAnsi="Times New Roman" w:cs="Times New Roman"/>
          <w:b/>
          <w:lang w:eastAsia="en-US"/>
        </w:rPr>
      </w:pPr>
    </w:p>
    <w:p w14:paraId="330795BA" w14:textId="77777777" w:rsidR="00D65C3B" w:rsidRPr="00D65C3B" w:rsidRDefault="00D65C3B" w:rsidP="00D65C3B">
      <w:pPr>
        <w:jc w:val="center"/>
        <w:rPr>
          <w:rFonts w:ascii="Times New Roman" w:hAnsi="Times New Roman" w:cs="Times New Roman"/>
          <w:b/>
          <w:lang w:eastAsia="en-US"/>
        </w:rPr>
      </w:pPr>
    </w:p>
    <w:p w14:paraId="4507CE92" w14:textId="77777777" w:rsidR="00D65C3B" w:rsidRPr="00D65C3B" w:rsidRDefault="00D65C3B" w:rsidP="00D65C3B">
      <w:pPr>
        <w:jc w:val="center"/>
        <w:rPr>
          <w:rFonts w:ascii="Times New Roman" w:hAnsi="Times New Roman" w:cs="Times New Roman"/>
          <w:b/>
          <w:lang w:eastAsia="en-US"/>
        </w:rPr>
      </w:pPr>
    </w:p>
    <w:p w14:paraId="578C9440" w14:textId="77777777" w:rsidR="00D65C3B" w:rsidRPr="00D65C3B" w:rsidRDefault="00D65C3B" w:rsidP="00D65C3B">
      <w:pPr>
        <w:jc w:val="center"/>
        <w:rPr>
          <w:rFonts w:ascii="Times New Roman" w:hAnsi="Times New Roman" w:cs="Times New Roman"/>
          <w:b/>
          <w:lang w:eastAsia="en-US"/>
        </w:rPr>
      </w:pPr>
    </w:p>
    <w:p w14:paraId="47203397" w14:textId="77777777" w:rsidR="00D65C3B" w:rsidRPr="00D65C3B" w:rsidRDefault="00D65C3B" w:rsidP="00D65C3B">
      <w:pPr>
        <w:jc w:val="center"/>
        <w:rPr>
          <w:rFonts w:ascii="Times New Roman" w:hAnsi="Times New Roman" w:cs="Times New Roman"/>
          <w:b/>
          <w:lang w:eastAsia="en-US"/>
        </w:rPr>
      </w:pPr>
    </w:p>
    <w:p w14:paraId="3968079D" w14:textId="77777777" w:rsidR="00D65C3B" w:rsidRPr="00D65C3B" w:rsidRDefault="00D65C3B" w:rsidP="00D65C3B">
      <w:pPr>
        <w:jc w:val="center"/>
        <w:rPr>
          <w:rFonts w:ascii="Times New Roman" w:hAnsi="Times New Roman" w:cs="Times New Roman"/>
          <w:b/>
          <w:lang w:eastAsia="en-US"/>
        </w:rPr>
      </w:pPr>
    </w:p>
    <w:p w14:paraId="66F8F11E" w14:textId="77777777" w:rsidR="00D65C3B" w:rsidRPr="00D65C3B" w:rsidRDefault="00D65C3B" w:rsidP="00D65C3B">
      <w:pPr>
        <w:jc w:val="center"/>
        <w:rPr>
          <w:rFonts w:ascii="Times New Roman" w:hAnsi="Times New Roman" w:cs="Times New Roman"/>
          <w:b/>
          <w:lang w:eastAsia="en-US"/>
        </w:rPr>
      </w:pPr>
    </w:p>
    <w:p w14:paraId="7746F8FE" w14:textId="77777777" w:rsidR="00D65C3B" w:rsidRPr="00D65C3B" w:rsidRDefault="00D65C3B" w:rsidP="00D65C3B">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lang w:eastAsia="en-US"/>
        </w:rPr>
      </w:pPr>
    </w:p>
    <w:p w14:paraId="78CB1418" w14:textId="77777777" w:rsidR="00D65C3B" w:rsidRPr="00D65C3B" w:rsidRDefault="00D65C3B" w:rsidP="00D65C3B">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lang w:eastAsia="en-US"/>
        </w:rPr>
      </w:pPr>
    </w:p>
    <w:p w14:paraId="21CEC53F" w14:textId="77777777" w:rsidR="00D65C3B" w:rsidRPr="00D65C3B" w:rsidRDefault="00D65C3B" w:rsidP="00D65C3B">
      <w:pPr>
        <w:pBdr>
          <w:bottom w:val="single" w:sz="12" w:space="1" w:color="auto"/>
        </w:pBdr>
        <w:tabs>
          <w:tab w:val="left" w:pos="567"/>
          <w:tab w:val="left" w:pos="1134"/>
          <w:tab w:val="left" w:pos="1701"/>
          <w:tab w:val="left" w:pos="2268"/>
        </w:tabs>
        <w:suppressAutoHyphens/>
        <w:jc w:val="both"/>
        <w:rPr>
          <w:rFonts w:ascii="Times New Roman" w:eastAsia="Calibri" w:hAnsi="Times New Roman" w:cs="Times New Roman"/>
          <w:b/>
          <w:lang w:eastAsia="en-US"/>
        </w:rPr>
      </w:pPr>
    </w:p>
    <w:p w14:paraId="1471C45A" w14:textId="77777777" w:rsidR="00D65C3B" w:rsidRPr="00D65C3B" w:rsidRDefault="00D65C3B" w:rsidP="00D65C3B">
      <w:pPr>
        <w:spacing w:line="276" w:lineRule="auto"/>
        <w:jc w:val="center"/>
        <w:rPr>
          <w:rFonts w:ascii="Times New Roman" w:hAnsi="Times New Roman" w:cs="Times New Roman"/>
          <w:b/>
          <w:lang w:eastAsia="en-US"/>
        </w:rPr>
      </w:pPr>
      <w:r w:rsidRPr="00D65C3B">
        <w:rPr>
          <w:rFonts w:ascii="Times New Roman" w:eastAsia="Calibri" w:hAnsi="Times New Roman" w:cs="Times New Roman"/>
          <w:b/>
          <w:lang w:eastAsia="en-US"/>
        </w:rPr>
        <w:t>Zagreb, srpanj 2024. godine</w:t>
      </w:r>
    </w:p>
    <w:p w14:paraId="6B866897" w14:textId="77777777" w:rsidR="00D65C3B" w:rsidRPr="00D65C3B" w:rsidRDefault="00D65C3B" w:rsidP="00D65C3B">
      <w:pPr>
        <w:spacing w:after="160" w:line="259" w:lineRule="auto"/>
      </w:pPr>
      <w:bookmarkStart w:id="5" w:name="_Toc45878540"/>
    </w:p>
    <w:p w14:paraId="1E675607" w14:textId="77777777" w:rsidR="00D65C3B" w:rsidRPr="00D65C3B" w:rsidRDefault="00D65C3B" w:rsidP="00D65C3B">
      <w:pPr>
        <w:spacing w:after="160" w:line="259" w:lineRule="auto"/>
      </w:pPr>
    </w:p>
    <w:p w14:paraId="7D5C170B" w14:textId="3E94525E" w:rsidR="00D65C3B" w:rsidRPr="00D65C3B" w:rsidRDefault="00A447B2" w:rsidP="00D65C3B">
      <w:pPr>
        <w:keepNext/>
        <w:keepLines/>
        <w:spacing w:before="120"/>
        <w:ind w:left="717" w:hanging="360"/>
        <w:jc w:val="both"/>
        <w:outlineLvl w:val="0"/>
        <w:rPr>
          <w:rFonts w:ascii="Times New Roman" w:eastAsiaTheme="majorEastAsia" w:hAnsi="Times New Roman" w:cstheme="majorBidi"/>
          <w:b/>
          <w:color w:val="auto"/>
          <w:szCs w:val="32"/>
        </w:rPr>
      </w:pPr>
      <w:r>
        <w:rPr>
          <w:rFonts w:ascii="Times New Roman" w:eastAsiaTheme="majorEastAsia" w:hAnsi="Times New Roman" w:cstheme="majorBidi"/>
          <w:b/>
          <w:color w:val="auto"/>
          <w:szCs w:val="32"/>
        </w:rPr>
        <w:lastRenderedPageBreak/>
        <w:t xml:space="preserve">1. </w:t>
      </w:r>
      <w:r w:rsidR="00D65C3B" w:rsidRPr="00D65C3B">
        <w:rPr>
          <w:rFonts w:ascii="Times New Roman" w:eastAsiaTheme="majorEastAsia" w:hAnsi="Times New Roman" w:cstheme="majorBidi"/>
          <w:b/>
          <w:color w:val="auto"/>
          <w:szCs w:val="32"/>
        </w:rPr>
        <w:t>UVOD</w:t>
      </w:r>
      <w:bookmarkEnd w:id="5"/>
    </w:p>
    <w:p w14:paraId="50ECEC4B" w14:textId="77777777" w:rsidR="00D65C3B" w:rsidRPr="00D65C3B" w:rsidRDefault="00D65C3B" w:rsidP="00D65C3B">
      <w:pPr>
        <w:spacing w:line="360" w:lineRule="auto"/>
        <w:jc w:val="both"/>
        <w:rPr>
          <w:rFonts w:ascii="Times New Roman" w:hAnsi="Times New Roman" w:cs="Times New Roman"/>
        </w:rPr>
      </w:pPr>
    </w:p>
    <w:p w14:paraId="2C31D748" w14:textId="77777777" w:rsidR="00D65C3B" w:rsidRPr="00D65C3B" w:rsidRDefault="00D65C3B" w:rsidP="00D65C3B">
      <w:pPr>
        <w:spacing w:line="276" w:lineRule="auto"/>
        <w:jc w:val="both"/>
        <w:rPr>
          <w:rFonts w:ascii="Times New Roman" w:hAnsi="Times New Roman" w:cs="Times New Roman"/>
        </w:rPr>
      </w:pPr>
      <w:r w:rsidRPr="00D65C3B">
        <w:rPr>
          <w:rFonts w:ascii="Times New Roman" w:hAnsi="Times New Roman" w:cs="Times New Roman"/>
        </w:rPr>
        <w:t>Vinogradarsko-vinarska (u daljnjem tekstu: VV) proizvodnja predstavlja izuzetno važnu gospodarsku granu u Republici Hrvatskoj (u daljnjem tekstu: RH) koja direktno ili kroz vezane djelatnosti (turizam, trgovina, proizvodnja vinogradarske opreme, ugostiteljstvo) ima izuzetno veliki značaj za gospodarstvo. Posebno je to izraženo u ruralnim područjima u kojima druge vrste poljoprivredne proizvodnje ne mogu osigurati istu razinu prihoda, a zbog vezanih turističkih proizvoda (manifestacije, sajmovi i izložbe vina i sl.) privlače brojne turiste. Ujedno je VV proizvodnja jedna od rijetkih poljoprivrednih djelatnosti koja privlači mlade ljude na povratak ili ostanak na ruralnim područjima, a posebno otocima s obzirom na direktnu povezanost i kompatibilnost VV proizvodnje sa turizmom.</w:t>
      </w:r>
    </w:p>
    <w:p w14:paraId="0F1CBD6D" w14:textId="77777777" w:rsidR="00D65C3B" w:rsidRPr="00D65C3B" w:rsidRDefault="00D65C3B" w:rsidP="00D65C3B">
      <w:pPr>
        <w:spacing w:line="276" w:lineRule="auto"/>
        <w:jc w:val="both"/>
        <w:rPr>
          <w:rFonts w:ascii="Times New Roman" w:hAnsi="Times New Roman" w:cs="Times New Roman"/>
        </w:rPr>
      </w:pPr>
    </w:p>
    <w:p w14:paraId="5C9BB106" w14:textId="5E631F33" w:rsidR="00D65C3B" w:rsidRPr="00D65C3B" w:rsidRDefault="00D65C3B" w:rsidP="00D65C3B">
      <w:pPr>
        <w:spacing w:line="276" w:lineRule="auto"/>
        <w:jc w:val="both"/>
        <w:rPr>
          <w:rFonts w:ascii="Times New Roman" w:hAnsi="Times New Roman" w:cs="Times New Roman"/>
        </w:rPr>
      </w:pPr>
      <w:r w:rsidRPr="00D65C3B">
        <w:rPr>
          <w:rFonts w:ascii="Times New Roman" w:hAnsi="Times New Roman" w:cs="Times New Roman"/>
        </w:rPr>
        <w:t xml:space="preserve">Najvažnije sorte vinove loze po površinama u uzgoju prikazane su u Tablici 1. Najvažnija sorta je Graševina koja zajedno s Malvazijom istarskom i Plavcem malim zauzima 41% ukupnih vinogradarskih površina. Osim njih sve veću važnost u RH imaju i francuske sorte Merlot i Cabernet Sauvignon što je vezano uz svjetsku popularnost navedenih sorata. </w:t>
      </w:r>
    </w:p>
    <w:p w14:paraId="5BE31662" w14:textId="77777777" w:rsidR="00D65C3B" w:rsidRPr="00D65C3B" w:rsidRDefault="00D65C3B" w:rsidP="00D65C3B">
      <w:pPr>
        <w:spacing w:line="276" w:lineRule="auto"/>
        <w:jc w:val="both"/>
        <w:rPr>
          <w:rFonts w:ascii="Times New Roman" w:hAnsi="Times New Roman" w:cs="Times New Roman"/>
        </w:rPr>
      </w:pPr>
    </w:p>
    <w:p w14:paraId="31DE9A53" w14:textId="77777777" w:rsidR="00D65C3B" w:rsidRPr="00D65C3B" w:rsidRDefault="00D65C3B" w:rsidP="00D65C3B">
      <w:pPr>
        <w:spacing w:line="276" w:lineRule="auto"/>
        <w:jc w:val="both"/>
        <w:rPr>
          <w:rFonts w:ascii="Times New Roman" w:hAnsi="Times New Roman" w:cs="Times New Roman"/>
        </w:rPr>
      </w:pPr>
      <w:r w:rsidRPr="00D65C3B">
        <w:rPr>
          <w:rFonts w:ascii="Times New Roman" w:hAnsi="Times New Roman" w:cs="Times New Roman"/>
        </w:rPr>
        <w:t xml:space="preserve">Veliku važnost za VV proizvodnju u RH, posebno onu koja omogućava dovoljnu razinu profitabilnosti i ima značajan izvozni potencijal, na malim i usitnjenim poljoprivrednim površinama u RH predstavljaju autohtone sorte vinove loze. Zahvaljujući brojnim znanstvenim naporima do sada je očuvano oko 130 autohtonih sorata od kojih je njih 30-ak značajno za proizvodnju. </w:t>
      </w:r>
    </w:p>
    <w:p w14:paraId="43D32B22" w14:textId="77777777" w:rsidR="00D65C3B" w:rsidRPr="00D65C3B" w:rsidRDefault="00D65C3B" w:rsidP="00D65C3B">
      <w:pPr>
        <w:jc w:val="both"/>
        <w:rPr>
          <w:rFonts w:ascii="Times New Roman" w:hAnsi="Times New Roman" w:cs="Times New Roman"/>
        </w:rPr>
      </w:pPr>
    </w:p>
    <w:tbl>
      <w:tblPr>
        <w:tblW w:w="9062" w:type="dxa"/>
        <w:tblLook w:val="04A0" w:firstRow="1" w:lastRow="0" w:firstColumn="1" w:lastColumn="0" w:noHBand="0" w:noVBand="1"/>
      </w:tblPr>
      <w:tblGrid>
        <w:gridCol w:w="3392"/>
        <w:gridCol w:w="2835"/>
        <w:gridCol w:w="2835"/>
      </w:tblGrid>
      <w:tr w:rsidR="00D65C3B" w:rsidRPr="00D65C3B" w14:paraId="784E310A" w14:textId="77777777" w:rsidTr="004774AC">
        <w:trPr>
          <w:trHeight w:val="315"/>
        </w:trPr>
        <w:tc>
          <w:tcPr>
            <w:tcW w:w="33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2A8E0C" w14:textId="77777777" w:rsidR="00D65C3B" w:rsidRPr="00D65C3B" w:rsidRDefault="00D65C3B" w:rsidP="00D65C3B">
            <w:pPr>
              <w:rPr>
                <w:rFonts w:ascii="Times New Roman" w:hAnsi="Times New Roman" w:cs="Times New Roman"/>
                <w:b/>
                <w:bCs/>
                <w:sz w:val="22"/>
                <w:szCs w:val="22"/>
              </w:rPr>
            </w:pPr>
            <w:r w:rsidRPr="00D65C3B">
              <w:rPr>
                <w:rFonts w:ascii="Times New Roman" w:hAnsi="Times New Roman" w:cs="Times New Roman"/>
                <w:b/>
                <w:bCs/>
                <w:sz w:val="22"/>
                <w:szCs w:val="22"/>
              </w:rPr>
              <w:t>Naziv sorte</w:t>
            </w:r>
          </w:p>
        </w:tc>
        <w:tc>
          <w:tcPr>
            <w:tcW w:w="2835" w:type="dxa"/>
            <w:tcBorders>
              <w:top w:val="single" w:sz="8" w:space="0" w:color="auto"/>
              <w:left w:val="nil"/>
              <w:bottom w:val="single" w:sz="8" w:space="0" w:color="auto"/>
              <w:right w:val="single" w:sz="4" w:space="0" w:color="auto"/>
            </w:tcBorders>
            <w:shd w:val="clear" w:color="auto" w:fill="auto"/>
            <w:noWrap/>
            <w:vAlign w:val="center"/>
            <w:hideMark/>
          </w:tcPr>
          <w:p w14:paraId="56981BE7" w14:textId="77777777" w:rsidR="00D65C3B" w:rsidRPr="00D65C3B" w:rsidRDefault="00D65C3B" w:rsidP="00D65C3B">
            <w:pPr>
              <w:jc w:val="right"/>
              <w:rPr>
                <w:rFonts w:ascii="Times New Roman" w:hAnsi="Times New Roman" w:cs="Times New Roman"/>
                <w:b/>
                <w:bCs/>
                <w:sz w:val="22"/>
                <w:szCs w:val="22"/>
              </w:rPr>
            </w:pPr>
            <w:r w:rsidRPr="00D65C3B">
              <w:rPr>
                <w:rFonts w:ascii="Times New Roman" w:hAnsi="Times New Roman" w:cs="Times New Roman"/>
                <w:b/>
                <w:bCs/>
                <w:sz w:val="22"/>
                <w:szCs w:val="22"/>
              </w:rPr>
              <w:t>Površina (ha)</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359F1" w14:textId="77777777" w:rsidR="00D65C3B" w:rsidRPr="00D65C3B" w:rsidRDefault="00D65C3B" w:rsidP="00D65C3B">
            <w:pPr>
              <w:jc w:val="right"/>
              <w:rPr>
                <w:rFonts w:ascii="Times New Roman" w:hAnsi="Times New Roman" w:cs="Times New Roman"/>
                <w:b/>
                <w:bCs/>
                <w:sz w:val="22"/>
                <w:szCs w:val="22"/>
              </w:rPr>
            </w:pPr>
            <w:r w:rsidRPr="00D65C3B">
              <w:rPr>
                <w:rFonts w:ascii="Times New Roman" w:hAnsi="Times New Roman" w:cs="Times New Roman"/>
                <w:b/>
                <w:bCs/>
                <w:sz w:val="22"/>
                <w:szCs w:val="22"/>
              </w:rPr>
              <w:t>Udio (%)</w:t>
            </w:r>
          </w:p>
        </w:tc>
      </w:tr>
      <w:tr w:rsidR="00D65C3B" w:rsidRPr="00D65C3B" w14:paraId="7270408B"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6ABC3934"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Graševina</w:t>
            </w:r>
          </w:p>
        </w:tc>
        <w:tc>
          <w:tcPr>
            <w:tcW w:w="2835" w:type="dxa"/>
            <w:tcBorders>
              <w:top w:val="nil"/>
              <w:left w:val="nil"/>
              <w:bottom w:val="single" w:sz="8" w:space="0" w:color="auto"/>
              <w:right w:val="single" w:sz="4" w:space="0" w:color="auto"/>
            </w:tcBorders>
            <w:shd w:val="clear" w:color="auto" w:fill="auto"/>
            <w:noWrap/>
            <w:vAlign w:val="center"/>
            <w:hideMark/>
          </w:tcPr>
          <w:p w14:paraId="51EB615F"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4.347,13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035F6A"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24,70</w:t>
            </w:r>
          </w:p>
        </w:tc>
      </w:tr>
      <w:tr w:rsidR="00D65C3B" w:rsidRPr="00D65C3B" w14:paraId="6DAF1F31"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576908EF"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Malvazija istarska</w:t>
            </w:r>
          </w:p>
        </w:tc>
        <w:tc>
          <w:tcPr>
            <w:tcW w:w="2835" w:type="dxa"/>
            <w:tcBorders>
              <w:top w:val="nil"/>
              <w:left w:val="nil"/>
              <w:bottom w:val="single" w:sz="8" w:space="0" w:color="auto"/>
              <w:right w:val="single" w:sz="4" w:space="0" w:color="auto"/>
            </w:tcBorders>
            <w:shd w:val="clear" w:color="auto" w:fill="auto"/>
            <w:noWrap/>
            <w:vAlign w:val="center"/>
            <w:hideMark/>
          </w:tcPr>
          <w:p w14:paraId="73889D26"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1.554,83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1C353"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8,83</w:t>
            </w:r>
          </w:p>
        </w:tc>
      </w:tr>
      <w:tr w:rsidR="00D65C3B" w:rsidRPr="00D65C3B" w14:paraId="4ECFF2EF"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724C850C"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 xml:space="preserve">Plavac mali </w:t>
            </w:r>
          </w:p>
        </w:tc>
        <w:tc>
          <w:tcPr>
            <w:tcW w:w="2835" w:type="dxa"/>
            <w:tcBorders>
              <w:top w:val="nil"/>
              <w:left w:val="nil"/>
              <w:bottom w:val="single" w:sz="8" w:space="0" w:color="auto"/>
              <w:right w:val="single" w:sz="4" w:space="0" w:color="auto"/>
            </w:tcBorders>
            <w:shd w:val="clear" w:color="auto" w:fill="auto"/>
            <w:noWrap/>
            <w:vAlign w:val="center"/>
            <w:hideMark/>
          </w:tcPr>
          <w:p w14:paraId="7C990D13"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1.333,73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78B84"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7,58</w:t>
            </w:r>
          </w:p>
        </w:tc>
      </w:tr>
      <w:tr w:rsidR="00D65C3B" w:rsidRPr="00D65C3B" w14:paraId="63CDE39A"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1AA7AC91"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 xml:space="preserve">Merlot </w:t>
            </w:r>
          </w:p>
        </w:tc>
        <w:tc>
          <w:tcPr>
            <w:tcW w:w="2835" w:type="dxa"/>
            <w:tcBorders>
              <w:top w:val="nil"/>
              <w:left w:val="nil"/>
              <w:bottom w:val="single" w:sz="8" w:space="0" w:color="auto"/>
              <w:right w:val="single" w:sz="4" w:space="0" w:color="auto"/>
            </w:tcBorders>
            <w:shd w:val="clear" w:color="auto" w:fill="auto"/>
            <w:noWrap/>
            <w:vAlign w:val="center"/>
            <w:hideMark/>
          </w:tcPr>
          <w:p w14:paraId="2D94062D"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806,22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DBB79"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4,58</w:t>
            </w:r>
          </w:p>
        </w:tc>
      </w:tr>
      <w:tr w:rsidR="00D65C3B" w:rsidRPr="00D65C3B" w14:paraId="581B2FB1"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6CA17232"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 xml:space="preserve">Cabernet sauvignon </w:t>
            </w:r>
          </w:p>
        </w:tc>
        <w:tc>
          <w:tcPr>
            <w:tcW w:w="2835" w:type="dxa"/>
            <w:tcBorders>
              <w:top w:val="nil"/>
              <w:left w:val="nil"/>
              <w:bottom w:val="single" w:sz="8" w:space="0" w:color="auto"/>
              <w:right w:val="single" w:sz="4" w:space="0" w:color="auto"/>
            </w:tcBorders>
            <w:shd w:val="clear" w:color="auto" w:fill="auto"/>
            <w:noWrap/>
            <w:vAlign w:val="center"/>
            <w:hideMark/>
          </w:tcPr>
          <w:p w14:paraId="08A6CD8C"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662,61</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81E33"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3,76</w:t>
            </w:r>
          </w:p>
        </w:tc>
      </w:tr>
      <w:tr w:rsidR="00D65C3B" w:rsidRPr="00D65C3B" w14:paraId="2994A179"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260176BE"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 xml:space="preserve">Chardonnay </w:t>
            </w:r>
          </w:p>
        </w:tc>
        <w:tc>
          <w:tcPr>
            <w:tcW w:w="2835" w:type="dxa"/>
            <w:tcBorders>
              <w:top w:val="nil"/>
              <w:left w:val="nil"/>
              <w:bottom w:val="single" w:sz="8" w:space="0" w:color="auto"/>
              <w:right w:val="single" w:sz="4" w:space="0" w:color="auto"/>
            </w:tcBorders>
            <w:shd w:val="clear" w:color="auto" w:fill="auto"/>
            <w:noWrap/>
            <w:vAlign w:val="center"/>
            <w:hideMark/>
          </w:tcPr>
          <w:p w14:paraId="21350E8C"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568,45</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BDB31"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3,23</w:t>
            </w:r>
          </w:p>
        </w:tc>
      </w:tr>
      <w:tr w:rsidR="00D65C3B" w:rsidRPr="00D65C3B" w14:paraId="6D699715"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46035B0D"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Plavina crna</w:t>
            </w:r>
          </w:p>
        </w:tc>
        <w:tc>
          <w:tcPr>
            <w:tcW w:w="2835" w:type="dxa"/>
            <w:tcBorders>
              <w:top w:val="nil"/>
              <w:left w:val="nil"/>
              <w:bottom w:val="single" w:sz="8" w:space="0" w:color="auto"/>
              <w:right w:val="single" w:sz="4" w:space="0" w:color="auto"/>
            </w:tcBorders>
            <w:shd w:val="clear" w:color="auto" w:fill="auto"/>
            <w:noWrap/>
            <w:vAlign w:val="center"/>
            <w:hideMark/>
          </w:tcPr>
          <w:p w14:paraId="09C8CF21"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523,73</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ECA73"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2,98</w:t>
            </w:r>
          </w:p>
        </w:tc>
      </w:tr>
      <w:tr w:rsidR="00D65C3B" w:rsidRPr="00D65C3B" w14:paraId="46C399C3"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06D603D5"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Rajnski rizling</w:t>
            </w:r>
          </w:p>
        </w:tc>
        <w:tc>
          <w:tcPr>
            <w:tcW w:w="2835" w:type="dxa"/>
            <w:tcBorders>
              <w:top w:val="nil"/>
              <w:left w:val="nil"/>
              <w:bottom w:val="single" w:sz="8" w:space="0" w:color="auto"/>
              <w:right w:val="single" w:sz="4" w:space="0" w:color="auto"/>
            </w:tcBorders>
            <w:shd w:val="clear" w:color="auto" w:fill="auto"/>
            <w:noWrap/>
            <w:vAlign w:val="center"/>
            <w:hideMark/>
          </w:tcPr>
          <w:p w14:paraId="5B5DB7F4"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500,62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6E09C"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2,84</w:t>
            </w:r>
          </w:p>
        </w:tc>
      </w:tr>
      <w:tr w:rsidR="00D65C3B" w:rsidRPr="00D65C3B" w14:paraId="30C7BEF5"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58EEA68E"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Frankovka</w:t>
            </w:r>
          </w:p>
        </w:tc>
        <w:tc>
          <w:tcPr>
            <w:tcW w:w="2835" w:type="dxa"/>
            <w:tcBorders>
              <w:top w:val="nil"/>
              <w:left w:val="nil"/>
              <w:bottom w:val="single" w:sz="8" w:space="0" w:color="auto"/>
              <w:right w:val="single" w:sz="4" w:space="0" w:color="auto"/>
            </w:tcBorders>
            <w:shd w:val="clear" w:color="auto" w:fill="auto"/>
            <w:noWrap/>
            <w:vAlign w:val="center"/>
            <w:hideMark/>
          </w:tcPr>
          <w:p w14:paraId="567871D2"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440,34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37621"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2,50</w:t>
            </w:r>
          </w:p>
        </w:tc>
      </w:tr>
      <w:tr w:rsidR="00D65C3B" w:rsidRPr="00D65C3B" w14:paraId="1A5A5EB5"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79F59737"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Pošip bijeli</w:t>
            </w:r>
          </w:p>
        </w:tc>
        <w:tc>
          <w:tcPr>
            <w:tcW w:w="2835" w:type="dxa"/>
            <w:tcBorders>
              <w:top w:val="nil"/>
              <w:left w:val="nil"/>
              <w:bottom w:val="single" w:sz="8" w:space="0" w:color="auto"/>
              <w:right w:val="single" w:sz="4" w:space="0" w:color="auto"/>
            </w:tcBorders>
            <w:shd w:val="clear" w:color="auto" w:fill="auto"/>
            <w:noWrap/>
            <w:vAlign w:val="center"/>
            <w:hideMark/>
          </w:tcPr>
          <w:p w14:paraId="5DB70D7E"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329,47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D85FF"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1,87</w:t>
            </w:r>
          </w:p>
        </w:tc>
      </w:tr>
      <w:tr w:rsidR="00D65C3B" w:rsidRPr="00D65C3B" w14:paraId="6856D8B8"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17EFFBC8"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Debit</w:t>
            </w:r>
          </w:p>
        </w:tc>
        <w:tc>
          <w:tcPr>
            <w:tcW w:w="2835" w:type="dxa"/>
            <w:tcBorders>
              <w:top w:val="nil"/>
              <w:left w:val="nil"/>
              <w:bottom w:val="single" w:sz="8" w:space="0" w:color="auto"/>
              <w:right w:val="single" w:sz="4" w:space="0" w:color="auto"/>
            </w:tcBorders>
            <w:shd w:val="clear" w:color="auto" w:fill="auto"/>
            <w:noWrap/>
            <w:vAlign w:val="center"/>
            <w:hideMark/>
          </w:tcPr>
          <w:p w14:paraId="6C9AD9B5"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323,07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EDB7C"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1,84</w:t>
            </w:r>
          </w:p>
        </w:tc>
      </w:tr>
      <w:tr w:rsidR="00D65C3B" w:rsidRPr="00D65C3B" w14:paraId="6DBEA2FF"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66C4FF48"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Maraština</w:t>
            </w:r>
          </w:p>
        </w:tc>
        <w:tc>
          <w:tcPr>
            <w:tcW w:w="2835" w:type="dxa"/>
            <w:tcBorders>
              <w:top w:val="nil"/>
              <w:left w:val="nil"/>
              <w:bottom w:val="single" w:sz="8" w:space="0" w:color="auto"/>
              <w:right w:val="single" w:sz="4" w:space="0" w:color="auto"/>
            </w:tcBorders>
            <w:shd w:val="clear" w:color="auto" w:fill="auto"/>
            <w:noWrap/>
            <w:vAlign w:val="center"/>
            <w:hideMark/>
          </w:tcPr>
          <w:p w14:paraId="2E825156"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302,82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72476"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1,72</w:t>
            </w:r>
          </w:p>
        </w:tc>
      </w:tr>
      <w:tr w:rsidR="00D65C3B" w:rsidRPr="00D65C3B" w14:paraId="5C72903E"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45801290"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Sauvignon</w:t>
            </w:r>
          </w:p>
        </w:tc>
        <w:tc>
          <w:tcPr>
            <w:tcW w:w="2835" w:type="dxa"/>
            <w:tcBorders>
              <w:top w:val="nil"/>
              <w:left w:val="nil"/>
              <w:bottom w:val="single" w:sz="8" w:space="0" w:color="auto"/>
              <w:right w:val="single" w:sz="4" w:space="0" w:color="auto"/>
            </w:tcBorders>
            <w:shd w:val="clear" w:color="auto" w:fill="auto"/>
            <w:noWrap/>
            <w:vAlign w:val="center"/>
            <w:hideMark/>
          </w:tcPr>
          <w:p w14:paraId="5D54F6F4"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295,08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2C3E9"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1,68</w:t>
            </w:r>
          </w:p>
        </w:tc>
      </w:tr>
      <w:tr w:rsidR="00D65C3B" w:rsidRPr="00D65C3B" w14:paraId="21B5F196"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3214891E"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Babić</w:t>
            </w:r>
          </w:p>
        </w:tc>
        <w:tc>
          <w:tcPr>
            <w:tcW w:w="2835" w:type="dxa"/>
            <w:tcBorders>
              <w:top w:val="nil"/>
              <w:left w:val="nil"/>
              <w:bottom w:val="single" w:sz="8" w:space="0" w:color="auto"/>
              <w:right w:val="single" w:sz="4" w:space="0" w:color="auto"/>
            </w:tcBorders>
            <w:shd w:val="clear" w:color="auto" w:fill="auto"/>
            <w:noWrap/>
            <w:vAlign w:val="center"/>
            <w:hideMark/>
          </w:tcPr>
          <w:p w14:paraId="58DD21A2"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287,04</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0269C"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1,63</w:t>
            </w:r>
          </w:p>
        </w:tc>
      </w:tr>
      <w:tr w:rsidR="00D65C3B" w:rsidRPr="00D65C3B" w14:paraId="10FC87BD"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5C01C2D6"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Traminac crveni</w:t>
            </w:r>
          </w:p>
        </w:tc>
        <w:tc>
          <w:tcPr>
            <w:tcW w:w="2835" w:type="dxa"/>
            <w:tcBorders>
              <w:top w:val="nil"/>
              <w:left w:val="nil"/>
              <w:bottom w:val="single" w:sz="8" w:space="0" w:color="auto"/>
              <w:right w:val="single" w:sz="4" w:space="0" w:color="auto"/>
            </w:tcBorders>
            <w:shd w:val="clear" w:color="auto" w:fill="auto"/>
            <w:noWrap/>
            <w:vAlign w:val="center"/>
            <w:hideMark/>
          </w:tcPr>
          <w:p w14:paraId="4A9C6030"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232,28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2E01C"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1,32</w:t>
            </w:r>
          </w:p>
        </w:tc>
      </w:tr>
      <w:tr w:rsidR="00D65C3B" w:rsidRPr="00D65C3B" w14:paraId="6F8148E0"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42F010FC"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Teran</w:t>
            </w:r>
          </w:p>
        </w:tc>
        <w:tc>
          <w:tcPr>
            <w:tcW w:w="2835" w:type="dxa"/>
            <w:tcBorders>
              <w:top w:val="nil"/>
              <w:left w:val="nil"/>
              <w:bottom w:val="single" w:sz="8" w:space="0" w:color="auto"/>
              <w:right w:val="single" w:sz="4" w:space="0" w:color="auto"/>
            </w:tcBorders>
            <w:shd w:val="clear" w:color="auto" w:fill="auto"/>
            <w:noWrap/>
            <w:vAlign w:val="center"/>
            <w:hideMark/>
          </w:tcPr>
          <w:p w14:paraId="0EC87DA6"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231,9</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90493"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1,32</w:t>
            </w:r>
          </w:p>
        </w:tc>
      </w:tr>
      <w:tr w:rsidR="00D65C3B" w:rsidRPr="00D65C3B" w14:paraId="71927252"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4DD5B289"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 xml:space="preserve">Syrah </w:t>
            </w:r>
          </w:p>
        </w:tc>
        <w:tc>
          <w:tcPr>
            <w:tcW w:w="2835" w:type="dxa"/>
            <w:tcBorders>
              <w:top w:val="nil"/>
              <w:left w:val="nil"/>
              <w:bottom w:val="single" w:sz="8" w:space="0" w:color="auto"/>
              <w:right w:val="single" w:sz="4" w:space="0" w:color="auto"/>
            </w:tcBorders>
            <w:shd w:val="clear" w:color="auto" w:fill="auto"/>
            <w:noWrap/>
            <w:vAlign w:val="center"/>
            <w:hideMark/>
          </w:tcPr>
          <w:p w14:paraId="1A2F00AC"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220,78</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39843A"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1,25</w:t>
            </w:r>
          </w:p>
        </w:tc>
      </w:tr>
      <w:tr w:rsidR="00D65C3B" w:rsidRPr="00D65C3B" w14:paraId="769D27B5"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1A38980C"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 xml:space="preserve">Pinot crni </w:t>
            </w:r>
          </w:p>
        </w:tc>
        <w:tc>
          <w:tcPr>
            <w:tcW w:w="2835" w:type="dxa"/>
            <w:tcBorders>
              <w:top w:val="nil"/>
              <w:left w:val="nil"/>
              <w:bottom w:val="single" w:sz="8" w:space="0" w:color="auto"/>
              <w:right w:val="single" w:sz="4" w:space="0" w:color="auto"/>
            </w:tcBorders>
            <w:shd w:val="clear" w:color="auto" w:fill="auto"/>
            <w:noWrap/>
            <w:vAlign w:val="center"/>
            <w:hideMark/>
          </w:tcPr>
          <w:p w14:paraId="082DB956"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183,36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BDBD3"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1,04</w:t>
            </w:r>
          </w:p>
        </w:tc>
      </w:tr>
      <w:tr w:rsidR="00D65C3B" w:rsidRPr="00D65C3B" w14:paraId="4574DF3C"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060946D7"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lastRenderedPageBreak/>
              <w:t xml:space="preserve">Kraljevina </w:t>
            </w:r>
          </w:p>
        </w:tc>
        <w:tc>
          <w:tcPr>
            <w:tcW w:w="2835" w:type="dxa"/>
            <w:tcBorders>
              <w:top w:val="nil"/>
              <w:left w:val="nil"/>
              <w:bottom w:val="single" w:sz="8" w:space="0" w:color="auto"/>
              <w:right w:val="single" w:sz="4" w:space="0" w:color="auto"/>
            </w:tcBorders>
            <w:shd w:val="clear" w:color="auto" w:fill="auto"/>
            <w:noWrap/>
            <w:vAlign w:val="center"/>
            <w:hideMark/>
          </w:tcPr>
          <w:p w14:paraId="2CEF51CA"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181,17</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1883F"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1,03</w:t>
            </w:r>
          </w:p>
        </w:tc>
      </w:tr>
      <w:tr w:rsidR="00D65C3B" w:rsidRPr="00D65C3B" w14:paraId="514317EF"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2FA4CE80"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 xml:space="preserve">Pinot sivi </w:t>
            </w:r>
          </w:p>
        </w:tc>
        <w:tc>
          <w:tcPr>
            <w:tcW w:w="2835" w:type="dxa"/>
            <w:tcBorders>
              <w:top w:val="nil"/>
              <w:left w:val="nil"/>
              <w:bottom w:val="single" w:sz="8" w:space="0" w:color="auto"/>
              <w:right w:val="single" w:sz="4" w:space="0" w:color="auto"/>
            </w:tcBorders>
            <w:shd w:val="clear" w:color="auto" w:fill="auto"/>
            <w:noWrap/>
            <w:vAlign w:val="center"/>
            <w:hideMark/>
          </w:tcPr>
          <w:p w14:paraId="6092C5D6"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178,72</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C8B90" w14:textId="77777777" w:rsidR="00D65C3B" w:rsidRPr="00D65C3B" w:rsidRDefault="00D65C3B" w:rsidP="00D65C3B">
            <w:pPr>
              <w:jc w:val="right"/>
              <w:rPr>
                <w:rFonts w:ascii="Times New Roman" w:hAnsi="Times New Roman" w:cs="Times New Roman"/>
                <w:sz w:val="22"/>
                <w:szCs w:val="22"/>
              </w:rPr>
            </w:pPr>
            <w:r w:rsidRPr="00D65C3B">
              <w:rPr>
                <w:rFonts w:ascii="Times New Roman" w:hAnsi="Times New Roman" w:cs="Times New Roman"/>
                <w:sz w:val="22"/>
                <w:szCs w:val="22"/>
              </w:rPr>
              <w:t>1,02</w:t>
            </w:r>
          </w:p>
        </w:tc>
      </w:tr>
      <w:tr w:rsidR="00D65C3B" w:rsidRPr="00D65C3B" w14:paraId="151B9CA5" w14:textId="77777777" w:rsidTr="004774AC">
        <w:trPr>
          <w:trHeight w:val="195"/>
        </w:trPr>
        <w:tc>
          <w:tcPr>
            <w:tcW w:w="3392" w:type="dxa"/>
            <w:tcBorders>
              <w:top w:val="nil"/>
              <w:left w:val="single" w:sz="8" w:space="0" w:color="auto"/>
              <w:bottom w:val="single" w:sz="8" w:space="0" w:color="auto"/>
              <w:right w:val="single" w:sz="8" w:space="0" w:color="auto"/>
            </w:tcBorders>
            <w:shd w:val="clear" w:color="auto" w:fill="auto"/>
            <w:noWrap/>
          </w:tcPr>
          <w:p w14:paraId="15FA1926"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Ostalo</w:t>
            </w:r>
          </w:p>
        </w:tc>
        <w:tc>
          <w:tcPr>
            <w:tcW w:w="2835" w:type="dxa"/>
            <w:tcBorders>
              <w:top w:val="nil"/>
              <w:left w:val="nil"/>
              <w:bottom w:val="single" w:sz="8" w:space="0" w:color="auto"/>
              <w:right w:val="single" w:sz="4" w:space="0" w:color="auto"/>
            </w:tcBorders>
            <w:shd w:val="clear" w:color="auto" w:fill="auto"/>
            <w:noWrap/>
          </w:tcPr>
          <w:p w14:paraId="36A37ACE" w14:textId="77777777" w:rsidR="00D65C3B" w:rsidRPr="00D65C3B" w:rsidRDefault="00D65C3B" w:rsidP="00D65C3B">
            <w:pPr>
              <w:jc w:val="right"/>
              <w:rPr>
                <w:rFonts w:ascii="Times New Roman" w:hAnsi="Times New Roman" w:cs="Times New Roman"/>
                <w:b/>
                <w:bCs/>
                <w:sz w:val="22"/>
                <w:szCs w:val="22"/>
              </w:rPr>
            </w:pPr>
            <w:r w:rsidRPr="00D65C3B">
              <w:rPr>
                <w:rFonts w:ascii="Times New Roman" w:hAnsi="Times New Roman" w:cs="Times New Roman"/>
                <w:sz w:val="22"/>
                <w:szCs w:val="22"/>
              </w:rPr>
              <w:t>4.097,21</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14:paraId="38AB0CEC" w14:textId="77777777" w:rsidR="00D65C3B" w:rsidRPr="00D65C3B" w:rsidRDefault="00D65C3B" w:rsidP="00D65C3B">
            <w:pPr>
              <w:jc w:val="right"/>
              <w:rPr>
                <w:rFonts w:ascii="Times New Roman" w:hAnsi="Times New Roman" w:cs="Times New Roman"/>
                <w:b/>
                <w:bCs/>
                <w:sz w:val="22"/>
                <w:szCs w:val="22"/>
              </w:rPr>
            </w:pPr>
            <w:r w:rsidRPr="00D65C3B">
              <w:rPr>
                <w:rFonts w:ascii="Times New Roman" w:hAnsi="Times New Roman" w:cs="Times New Roman"/>
                <w:sz w:val="22"/>
                <w:szCs w:val="22"/>
              </w:rPr>
              <w:t>23,28</w:t>
            </w:r>
          </w:p>
        </w:tc>
      </w:tr>
      <w:tr w:rsidR="00D65C3B" w:rsidRPr="00D65C3B" w14:paraId="1A1DBA5C" w14:textId="77777777" w:rsidTr="004774AC">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5F55106D" w14:textId="77777777" w:rsidR="00D65C3B" w:rsidRPr="00D65C3B" w:rsidRDefault="00D65C3B" w:rsidP="00D65C3B">
            <w:pPr>
              <w:rPr>
                <w:rFonts w:ascii="Times New Roman" w:hAnsi="Times New Roman" w:cs="Times New Roman"/>
                <w:sz w:val="22"/>
                <w:szCs w:val="22"/>
              </w:rPr>
            </w:pPr>
            <w:r w:rsidRPr="00D65C3B">
              <w:rPr>
                <w:rFonts w:ascii="Times New Roman" w:hAnsi="Times New Roman" w:cs="Times New Roman"/>
                <w:sz w:val="22"/>
                <w:szCs w:val="22"/>
              </w:rPr>
              <w:t>Ukupna površina vinograda</w:t>
            </w:r>
          </w:p>
        </w:tc>
        <w:tc>
          <w:tcPr>
            <w:tcW w:w="2835" w:type="dxa"/>
            <w:tcBorders>
              <w:top w:val="nil"/>
              <w:left w:val="nil"/>
              <w:bottom w:val="single" w:sz="8" w:space="0" w:color="auto"/>
              <w:right w:val="single" w:sz="4" w:space="0" w:color="auto"/>
            </w:tcBorders>
            <w:shd w:val="clear" w:color="auto" w:fill="auto"/>
            <w:noWrap/>
            <w:vAlign w:val="center"/>
            <w:hideMark/>
          </w:tcPr>
          <w:p w14:paraId="5D63FF10" w14:textId="77777777" w:rsidR="00D65C3B" w:rsidRPr="00D65C3B" w:rsidRDefault="00D65C3B" w:rsidP="00D65C3B">
            <w:pPr>
              <w:jc w:val="right"/>
              <w:rPr>
                <w:rFonts w:ascii="Times New Roman" w:hAnsi="Times New Roman" w:cs="Times New Roman"/>
                <w:b/>
                <w:bCs/>
                <w:sz w:val="22"/>
                <w:szCs w:val="22"/>
              </w:rPr>
            </w:pPr>
            <w:r w:rsidRPr="00D65C3B">
              <w:rPr>
                <w:rFonts w:ascii="Times New Roman" w:hAnsi="Times New Roman" w:cs="Times New Roman"/>
                <w:b/>
                <w:bCs/>
                <w:sz w:val="22"/>
                <w:szCs w:val="22"/>
              </w:rPr>
              <w:t>17.600,56</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CDE01" w14:textId="77777777" w:rsidR="00D65C3B" w:rsidRPr="00D65C3B" w:rsidRDefault="00D65C3B" w:rsidP="00D65C3B">
            <w:pPr>
              <w:jc w:val="right"/>
              <w:rPr>
                <w:rFonts w:ascii="Times New Roman" w:hAnsi="Times New Roman" w:cs="Times New Roman"/>
                <w:b/>
                <w:bCs/>
                <w:sz w:val="22"/>
                <w:szCs w:val="22"/>
              </w:rPr>
            </w:pPr>
          </w:p>
        </w:tc>
      </w:tr>
    </w:tbl>
    <w:p w14:paraId="018327C7" w14:textId="77777777" w:rsidR="00D65C3B" w:rsidRPr="00D65C3B" w:rsidRDefault="00D65C3B" w:rsidP="00D65C3B">
      <w:pPr>
        <w:jc w:val="both"/>
        <w:rPr>
          <w:rFonts w:ascii="Times New Roman" w:hAnsi="Times New Roman" w:cs="Times New Roman"/>
          <w:b/>
          <w:sz w:val="20"/>
          <w:szCs w:val="20"/>
        </w:rPr>
      </w:pPr>
      <w:r w:rsidRPr="00D65C3B">
        <w:rPr>
          <w:rFonts w:ascii="Times New Roman" w:hAnsi="Times New Roman" w:cs="Times New Roman"/>
          <w:b/>
          <w:sz w:val="20"/>
          <w:szCs w:val="20"/>
        </w:rPr>
        <w:t>Tablica 1 Najzastupljenije sorte u uzgoju u RH u 2022. godini (Vinogradarski registar)</w:t>
      </w:r>
    </w:p>
    <w:p w14:paraId="1F99B44B" w14:textId="77777777" w:rsidR="00D65C3B" w:rsidRPr="00D65C3B" w:rsidRDefault="00D65C3B" w:rsidP="00D65C3B">
      <w:pPr>
        <w:jc w:val="both"/>
        <w:rPr>
          <w:rFonts w:ascii="Times New Roman" w:hAnsi="Times New Roman" w:cs="Times New Roman"/>
        </w:rPr>
      </w:pPr>
    </w:p>
    <w:p w14:paraId="66A66129" w14:textId="1DD9BAF2" w:rsidR="00D65C3B" w:rsidRPr="00D65C3B" w:rsidRDefault="00D65C3B" w:rsidP="00D65C3B">
      <w:pPr>
        <w:spacing w:line="276" w:lineRule="auto"/>
        <w:jc w:val="both"/>
        <w:rPr>
          <w:rFonts w:ascii="Times New Roman" w:hAnsi="Times New Roman" w:cs="Times New Roman"/>
        </w:rPr>
      </w:pPr>
      <w:r w:rsidRPr="00D65C3B">
        <w:rPr>
          <w:rFonts w:ascii="Times New Roman" w:hAnsi="Times New Roman" w:cs="Times New Roman"/>
        </w:rPr>
        <w:t>Jedan od najznačajnijih problema vezan uz isplativost uzgoja autohtonih sorata je vrlo ograničena količina kvalitetnog i sortno čistog sadnog materijala (certificiranog - sorata i klonova) što je rezultiralo visokom razinom unutar</w:t>
      </w:r>
      <w:r w:rsidR="006753C8">
        <w:rPr>
          <w:rFonts w:ascii="Times New Roman" w:hAnsi="Times New Roman" w:cs="Times New Roman"/>
        </w:rPr>
        <w:t xml:space="preserve"> </w:t>
      </w:r>
      <w:r w:rsidRPr="00D65C3B">
        <w:rPr>
          <w:rFonts w:ascii="Times New Roman" w:hAnsi="Times New Roman" w:cs="Times New Roman"/>
        </w:rPr>
        <w:t>sortne varijabilnosti i visokim stupnjem zaraze različitim vegetativno prenosivim bolestima (virusima i fitoplazmama) što izuzetno umanjuje proizvodni potencijal hrvatskog vinogradarstva. S ciljem rješavanja navedenog problema kroz proteklih dvadesetak godina pokrenuti su projekti klonske i fitosanitarne selekcije najvažnijih autohtonih sorata vinove loze kao i sorte Graševina u RH.</w:t>
      </w:r>
    </w:p>
    <w:p w14:paraId="17EA44EA" w14:textId="77777777" w:rsidR="00D65C3B" w:rsidRPr="00D65C3B" w:rsidRDefault="00D65C3B" w:rsidP="00D65C3B">
      <w:pPr>
        <w:spacing w:line="276" w:lineRule="auto"/>
        <w:jc w:val="both"/>
        <w:rPr>
          <w:rFonts w:ascii="Times New Roman" w:hAnsi="Times New Roman" w:cs="Times New Roman"/>
        </w:rPr>
      </w:pPr>
    </w:p>
    <w:p w14:paraId="11628D18" w14:textId="4EA9983D"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U posljednjih nekoliko godina, konkretno u razdoblju od 2017. - 2023. godine u RH je godišnje proizvedeno u prosjeku 1,5 milijuna cijepova loze što se može vidjeti u Tablici 2. Veliki pad u proizvodnji loznih cjepova dogodio se u 2022. godini kada je proizvedeno 470.000 cijepova manje u odnosu na 2021. godinu (Tablica 3.). Najznačajnija sorta i ovdje je Graševina sa gotovo 25% ukupne proizvodnje cijepova u RH. Slijede autohtone sorte Plavac mali i Pošip te Rajnski rizling čija je pojedinačna proizvodnja iznad 5% ukupne količine cijepova. Vidljivo je ka</w:t>
      </w:r>
      <w:r w:rsidR="00AB5CDA">
        <w:rPr>
          <w:rFonts w:ascii="Times New Roman" w:hAnsi="Times New Roman" w:cs="Times New Roman"/>
          <w:lang w:eastAsia="en-US"/>
        </w:rPr>
        <w:t>k</w:t>
      </w:r>
      <w:r w:rsidRPr="00D65C3B">
        <w:rPr>
          <w:rFonts w:ascii="Times New Roman" w:hAnsi="Times New Roman" w:cs="Times New Roman"/>
          <w:lang w:eastAsia="en-US"/>
        </w:rPr>
        <w:t xml:space="preserve">o u proizvodnji sadnog materijala u RH sorta Malvazija istarska zauzima svega 1,3% s proizvodnjom od 19.290 cijepova. </w:t>
      </w:r>
    </w:p>
    <w:p w14:paraId="10D0A673" w14:textId="77777777" w:rsidR="00AE17B8" w:rsidRDefault="00AE17B8" w:rsidP="00D65C3B">
      <w:pPr>
        <w:spacing w:before="120" w:after="120" w:line="276" w:lineRule="auto"/>
        <w:contextualSpacing/>
        <w:jc w:val="both"/>
        <w:rPr>
          <w:rFonts w:ascii="Times New Roman" w:hAnsi="Times New Roman" w:cs="Times New Roman"/>
          <w:lang w:eastAsia="en-US"/>
        </w:rPr>
      </w:pPr>
    </w:p>
    <w:p w14:paraId="0CCB7B28" w14:textId="29BE9E6E"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U Tablici 4. prikazani su podaci o prosječnoj godišnjoj sadnji novih nasada temeljem podataka iz Vinogradarskog registra (u daljnjem tekstu: Registra) u razdoblju od 2015. do 2020., kroz koju je godišnje u prosjeku podignuto 200-injak hektara novih vinograda. Vidljivo je kako je i ovdje najzastupljenija sorta Graševina (31%), a slijedi ju Malvazija istarska sa 16,6%.  </w:t>
      </w:r>
    </w:p>
    <w:p w14:paraId="7540722A"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tbl>
      <w:tblPr>
        <w:tblStyle w:val="TableGrid"/>
        <w:tblW w:w="9180" w:type="dxa"/>
        <w:tblInd w:w="-113" w:type="dxa"/>
        <w:tblLook w:val="04A0" w:firstRow="1" w:lastRow="0" w:firstColumn="1" w:lastColumn="0" w:noHBand="0" w:noVBand="1"/>
      </w:tblPr>
      <w:tblGrid>
        <w:gridCol w:w="1413"/>
        <w:gridCol w:w="3118"/>
        <w:gridCol w:w="2381"/>
        <w:gridCol w:w="2268"/>
      </w:tblGrid>
      <w:tr w:rsidR="00D65C3B" w:rsidRPr="00D65C3B" w14:paraId="695B2573" w14:textId="77777777" w:rsidTr="004774AC">
        <w:trPr>
          <w:trHeight w:val="300"/>
        </w:trPr>
        <w:tc>
          <w:tcPr>
            <w:tcW w:w="1413" w:type="dxa"/>
            <w:noWrap/>
            <w:hideMark/>
          </w:tcPr>
          <w:p w14:paraId="44689DC8"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tc>
        <w:tc>
          <w:tcPr>
            <w:tcW w:w="3118" w:type="dxa"/>
            <w:noWrap/>
            <w:hideMark/>
          </w:tcPr>
          <w:p w14:paraId="7C79EA7A" w14:textId="77777777" w:rsidR="00D65C3B" w:rsidRPr="00D65C3B" w:rsidRDefault="00D65C3B" w:rsidP="00D65C3B">
            <w:pPr>
              <w:spacing w:before="120" w:after="120" w:line="276" w:lineRule="auto"/>
              <w:contextualSpacing/>
              <w:rPr>
                <w:rFonts w:ascii="Times New Roman" w:hAnsi="Times New Roman" w:cs="Times New Roman"/>
                <w:b/>
                <w:bCs/>
                <w:lang w:eastAsia="en-US"/>
              </w:rPr>
            </w:pPr>
            <w:r w:rsidRPr="00D65C3B">
              <w:rPr>
                <w:rFonts w:ascii="Times New Roman" w:hAnsi="Times New Roman" w:cs="Times New Roman"/>
                <w:b/>
                <w:bCs/>
                <w:lang w:eastAsia="en-US"/>
              </w:rPr>
              <w:t xml:space="preserve">Sorta </w:t>
            </w:r>
          </w:p>
        </w:tc>
        <w:tc>
          <w:tcPr>
            <w:tcW w:w="2381" w:type="dxa"/>
            <w:noWrap/>
            <w:hideMark/>
          </w:tcPr>
          <w:p w14:paraId="6C254EF1" w14:textId="77777777" w:rsidR="00D65C3B" w:rsidRPr="00D65C3B" w:rsidRDefault="00D65C3B" w:rsidP="00D65C3B">
            <w:pPr>
              <w:spacing w:before="120" w:after="120" w:line="276" w:lineRule="auto"/>
              <w:contextualSpacing/>
              <w:jc w:val="right"/>
              <w:rPr>
                <w:rFonts w:ascii="Times New Roman" w:hAnsi="Times New Roman" w:cs="Times New Roman"/>
                <w:b/>
                <w:bCs/>
                <w:lang w:eastAsia="en-US"/>
              </w:rPr>
            </w:pPr>
            <w:r w:rsidRPr="00D65C3B">
              <w:rPr>
                <w:rFonts w:ascii="Times New Roman" w:hAnsi="Times New Roman" w:cs="Times New Roman"/>
                <w:b/>
                <w:bCs/>
                <w:lang w:eastAsia="en-US"/>
              </w:rPr>
              <w:t>Broj cijepova</w:t>
            </w:r>
          </w:p>
        </w:tc>
        <w:tc>
          <w:tcPr>
            <w:tcW w:w="2268" w:type="dxa"/>
            <w:noWrap/>
            <w:hideMark/>
          </w:tcPr>
          <w:p w14:paraId="6E5260DE" w14:textId="77777777" w:rsidR="00D65C3B" w:rsidRPr="00D65C3B" w:rsidRDefault="00D65C3B" w:rsidP="00D65C3B">
            <w:pPr>
              <w:spacing w:before="120" w:after="120" w:line="276" w:lineRule="auto"/>
              <w:contextualSpacing/>
              <w:jc w:val="right"/>
              <w:rPr>
                <w:rFonts w:ascii="Times New Roman" w:hAnsi="Times New Roman" w:cs="Times New Roman"/>
                <w:b/>
                <w:bCs/>
                <w:lang w:eastAsia="en-US"/>
              </w:rPr>
            </w:pPr>
            <w:r w:rsidRPr="00D65C3B">
              <w:rPr>
                <w:rFonts w:ascii="Times New Roman" w:hAnsi="Times New Roman" w:cs="Times New Roman"/>
                <w:b/>
                <w:bCs/>
                <w:lang w:eastAsia="en-US"/>
              </w:rPr>
              <w:t>Udio (%)</w:t>
            </w:r>
          </w:p>
        </w:tc>
      </w:tr>
      <w:tr w:rsidR="00D65C3B" w:rsidRPr="00D65C3B" w14:paraId="05CC1973" w14:textId="77777777" w:rsidTr="004774AC">
        <w:trPr>
          <w:trHeight w:val="300"/>
        </w:trPr>
        <w:tc>
          <w:tcPr>
            <w:tcW w:w="1413" w:type="dxa"/>
            <w:noWrap/>
            <w:hideMark/>
          </w:tcPr>
          <w:p w14:paraId="68B88FE8"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1</w:t>
            </w:r>
          </w:p>
        </w:tc>
        <w:tc>
          <w:tcPr>
            <w:tcW w:w="3118" w:type="dxa"/>
            <w:noWrap/>
            <w:hideMark/>
          </w:tcPr>
          <w:p w14:paraId="0B759D0A"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Graševina ukupno</w:t>
            </w:r>
          </w:p>
        </w:tc>
        <w:tc>
          <w:tcPr>
            <w:tcW w:w="2381" w:type="dxa"/>
            <w:noWrap/>
            <w:hideMark/>
          </w:tcPr>
          <w:p w14:paraId="3A162F5F"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370.427</w:t>
            </w:r>
          </w:p>
        </w:tc>
        <w:tc>
          <w:tcPr>
            <w:tcW w:w="2268" w:type="dxa"/>
            <w:noWrap/>
            <w:hideMark/>
          </w:tcPr>
          <w:p w14:paraId="002425D5"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24,64</w:t>
            </w:r>
          </w:p>
        </w:tc>
      </w:tr>
      <w:tr w:rsidR="00D65C3B" w:rsidRPr="00D65C3B" w14:paraId="6FF65501" w14:textId="77777777" w:rsidTr="004774AC">
        <w:trPr>
          <w:trHeight w:val="300"/>
        </w:trPr>
        <w:tc>
          <w:tcPr>
            <w:tcW w:w="1413" w:type="dxa"/>
            <w:noWrap/>
            <w:hideMark/>
          </w:tcPr>
          <w:p w14:paraId="01F905AF"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2</w:t>
            </w:r>
          </w:p>
        </w:tc>
        <w:tc>
          <w:tcPr>
            <w:tcW w:w="3118" w:type="dxa"/>
            <w:noWrap/>
            <w:hideMark/>
          </w:tcPr>
          <w:p w14:paraId="495BAF33"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Plavac mali ukupno</w:t>
            </w:r>
          </w:p>
        </w:tc>
        <w:tc>
          <w:tcPr>
            <w:tcW w:w="2381" w:type="dxa"/>
            <w:noWrap/>
            <w:hideMark/>
          </w:tcPr>
          <w:p w14:paraId="5D5D1A07"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96.568</w:t>
            </w:r>
          </w:p>
        </w:tc>
        <w:tc>
          <w:tcPr>
            <w:tcW w:w="2268" w:type="dxa"/>
            <w:noWrap/>
            <w:hideMark/>
          </w:tcPr>
          <w:p w14:paraId="57BC5ADA"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6,42</w:t>
            </w:r>
          </w:p>
        </w:tc>
      </w:tr>
      <w:tr w:rsidR="00D65C3B" w:rsidRPr="00D65C3B" w14:paraId="2C36AF52" w14:textId="77777777" w:rsidTr="004774AC">
        <w:trPr>
          <w:trHeight w:val="300"/>
        </w:trPr>
        <w:tc>
          <w:tcPr>
            <w:tcW w:w="1413" w:type="dxa"/>
            <w:noWrap/>
            <w:hideMark/>
          </w:tcPr>
          <w:p w14:paraId="5827F236"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3</w:t>
            </w:r>
          </w:p>
        </w:tc>
        <w:tc>
          <w:tcPr>
            <w:tcW w:w="3118" w:type="dxa"/>
            <w:noWrap/>
            <w:hideMark/>
          </w:tcPr>
          <w:p w14:paraId="0F83DC5C"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Pošip ukupno</w:t>
            </w:r>
          </w:p>
        </w:tc>
        <w:tc>
          <w:tcPr>
            <w:tcW w:w="2381" w:type="dxa"/>
            <w:noWrap/>
            <w:hideMark/>
          </w:tcPr>
          <w:p w14:paraId="50A967A0"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91.281</w:t>
            </w:r>
          </w:p>
        </w:tc>
        <w:tc>
          <w:tcPr>
            <w:tcW w:w="2268" w:type="dxa"/>
            <w:noWrap/>
            <w:hideMark/>
          </w:tcPr>
          <w:p w14:paraId="0DF9336E"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6,07</w:t>
            </w:r>
          </w:p>
        </w:tc>
      </w:tr>
      <w:tr w:rsidR="00D65C3B" w:rsidRPr="00D65C3B" w14:paraId="0C2A4695" w14:textId="77777777" w:rsidTr="004774AC">
        <w:trPr>
          <w:trHeight w:val="300"/>
        </w:trPr>
        <w:tc>
          <w:tcPr>
            <w:tcW w:w="1413" w:type="dxa"/>
            <w:noWrap/>
            <w:hideMark/>
          </w:tcPr>
          <w:p w14:paraId="48F0A4A5"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4</w:t>
            </w:r>
          </w:p>
        </w:tc>
        <w:tc>
          <w:tcPr>
            <w:tcW w:w="3118" w:type="dxa"/>
            <w:noWrap/>
            <w:hideMark/>
          </w:tcPr>
          <w:p w14:paraId="52E92F33"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Rajnski rizling ukupno</w:t>
            </w:r>
          </w:p>
        </w:tc>
        <w:tc>
          <w:tcPr>
            <w:tcW w:w="2381" w:type="dxa"/>
            <w:noWrap/>
            <w:hideMark/>
          </w:tcPr>
          <w:p w14:paraId="56C48886"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78.485</w:t>
            </w:r>
          </w:p>
        </w:tc>
        <w:tc>
          <w:tcPr>
            <w:tcW w:w="2268" w:type="dxa"/>
            <w:noWrap/>
            <w:hideMark/>
          </w:tcPr>
          <w:p w14:paraId="4CB66415"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5,22</w:t>
            </w:r>
          </w:p>
        </w:tc>
      </w:tr>
      <w:tr w:rsidR="00D65C3B" w:rsidRPr="00D65C3B" w14:paraId="44B26731" w14:textId="77777777" w:rsidTr="004774AC">
        <w:trPr>
          <w:trHeight w:val="300"/>
        </w:trPr>
        <w:tc>
          <w:tcPr>
            <w:tcW w:w="1413" w:type="dxa"/>
            <w:noWrap/>
            <w:hideMark/>
          </w:tcPr>
          <w:p w14:paraId="4CE28A82"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5</w:t>
            </w:r>
          </w:p>
        </w:tc>
        <w:tc>
          <w:tcPr>
            <w:tcW w:w="3118" w:type="dxa"/>
            <w:noWrap/>
            <w:hideMark/>
          </w:tcPr>
          <w:p w14:paraId="29E888E6"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Sauvignon ukupno</w:t>
            </w:r>
          </w:p>
        </w:tc>
        <w:tc>
          <w:tcPr>
            <w:tcW w:w="2381" w:type="dxa"/>
            <w:noWrap/>
            <w:hideMark/>
          </w:tcPr>
          <w:p w14:paraId="58D8BA11"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54.663</w:t>
            </w:r>
          </w:p>
        </w:tc>
        <w:tc>
          <w:tcPr>
            <w:tcW w:w="2268" w:type="dxa"/>
            <w:noWrap/>
            <w:hideMark/>
          </w:tcPr>
          <w:p w14:paraId="0D670834"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3,64</w:t>
            </w:r>
          </w:p>
        </w:tc>
      </w:tr>
      <w:tr w:rsidR="00D65C3B" w:rsidRPr="00D65C3B" w14:paraId="07FD81F3" w14:textId="77777777" w:rsidTr="004774AC">
        <w:trPr>
          <w:trHeight w:val="300"/>
        </w:trPr>
        <w:tc>
          <w:tcPr>
            <w:tcW w:w="1413" w:type="dxa"/>
            <w:noWrap/>
            <w:hideMark/>
          </w:tcPr>
          <w:p w14:paraId="0B2D9467"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6</w:t>
            </w:r>
          </w:p>
        </w:tc>
        <w:tc>
          <w:tcPr>
            <w:tcW w:w="3118" w:type="dxa"/>
            <w:noWrap/>
            <w:hideMark/>
          </w:tcPr>
          <w:p w14:paraId="6EA2DF79"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Chardonnay ukupno</w:t>
            </w:r>
          </w:p>
        </w:tc>
        <w:tc>
          <w:tcPr>
            <w:tcW w:w="2381" w:type="dxa"/>
            <w:noWrap/>
            <w:hideMark/>
          </w:tcPr>
          <w:p w14:paraId="79641DAA"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51.494</w:t>
            </w:r>
          </w:p>
        </w:tc>
        <w:tc>
          <w:tcPr>
            <w:tcW w:w="2268" w:type="dxa"/>
            <w:noWrap/>
            <w:hideMark/>
          </w:tcPr>
          <w:p w14:paraId="10D2F494"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3,43</w:t>
            </w:r>
          </w:p>
        </w:tc>
      </w:tr>
      <w:tr w:rsidR="00D65C3B" w:rsidRPr="00D65C3B" w14:paraId="4D7A5785" w14:textId="77777777" w:rsidTr="004774AC">
        <w:trPr>
          <w:trHeight w:val="300"/>
        </w:trPr>
        <w:tc>
          <w:tcPr>
            <w:tcW w:w="1413" w:type="dxa"/>
            <w:noWrap/>
            <w:hideMark/>
          </w:tcPr>
          <w:p w14:paraId="236EF2E3"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7</w:t>
            </w:r>
          </w:p>
        </w:tc>
        <w:tc>
          <w:tcPr>
            <w:tcW w:w="3118" w:type="dxa"/>
            <w:noWrap/>
            <w:hideMark/>
          </w:tcPr>
          <w:p w14:paraId="7268BD5D"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Maraština ukupno</w:t>
            </w:r>
          </w:p>
        </w:tc>
        <w:tc>
          <w:tcPr>
            <w:tcW w:w="2381" w:type="dxa"/>
            <w:noWrap/>
            <w:hideMark/>
          </w:tcPr>
          <w:p w14:paraId="37357CE4"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46.843</w:t>
            </w:r>
          </w:p>
        </w:tc>
        <w:tc>
          <w:tcPr>
            <w:tcW w:w="2268" w:type="dxa"/>
            <w:noWrap/>
            <w:hideMark/>
          </w:tcPr>
          <w:p w14:paraId="1A050415"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3,12</w:t>
            </w:r>
          </w:p>
        </w:tc>
      </w:tr>
      <w:tr w:rsidR="00D65C3B" w:rsidRPr="00D65C3B" w14:paraId="7B157EFE" w14:textId="77777777" w:rsidTr="004774AC">
        <w:trPr>
          <w:trHeight w:val="300"/>
        </w:trPr>
        <w:tc>
          <w:tcPr>
            <w:tcW w:w="1413" w:type="dxa"/>
            <w:noWrap/>
            <w:hideMark/>
          </w:tcPr>
          <w:p w14:paraId="697C6480"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8</w:t>
            </w:r>
          </w:p>
        </w:tc>
        <w:tc>
          <w:tcPr>
            <w:tcW w:w="3118" w:type="dxa"/>
            <w:noWrap/>
            <w:hideMark/>
          </w:tcPr>
          <w:p w14:paraId="642884E0"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Merlot ukupno</w:t>
            </w:r>
          </w:p>
        </w:tc>
        <w:tc>
          <w:tcPr>
            <w:tcW w:w="2381" w:type="dxa"/>
            <w:noWrap/>
            <w:hideMark/>
          </w:tcPr>
          <w:p w14:paraId="017E6151"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43.385</w:t>
            </w:r>
          </w:p>
        </w:tc>
        <w:tc>
          <w:tcPr>
            <w:tcW w:w="2268" w:type="dxa"/>
            <w:noWrap/>
            <w:hideMark/>
          </w:tcPr>
          <w:p w14:paraId="68680F07"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2,89</w:t>
            </w:r>
          </w:p>
        </w:tc>
      </w:tr>
      <w:tr w:rsidR="00D65C3B" w:rsidRPr="00D65C3B" w14:paraId="15C65FB9" w14:textId="77777777" w:rsidTr="004774AC">
        <w:trPr>
          <w:trHeight w:val="300"/>
        </w:trPr>
        <w:tc>
          <w:tcPr>
            <w:tcW w:w="1413" w:type="dxa"/>
            <w:noWrap/>
            <w:hideMark/>
          </w:tcPr>
          <w:p w14:paraId="02B5E0D2"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9</w:t>
            </w:r>
          </w:p>
        </w:tc>
        <w:tc>
          <w:tcPr>
            <w:tcW w:w="3118" w:type="dxa"/>
            <w:noWrap/>
            <w:hideMark/>
          </w:tcPr>
          <w:p w14:paraId="167E8639"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Škrlet ukupno</w:t>
            </w:r>
          </w:p>
        </w:tc>
        <w:tc>
          <w:tcPr>
            <w:tcW w:w="2381" w:type="dxa"/>
            <w:noWrap/>
            <w:hideMark/>
          </w:tcPr>
          <w:p w14:paraId="0EEFF973"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33.497</w:t>
            </w:r>
          </w:p>
        </w:tc>
        <w:tc>
          <w:tcPr>
            <w:tcW w:w="2268" w:type="dxa"/>
            <w:noWrap/>
            <w:hideMark/>
          </w:tcPr>
          <w:p w14:paraId="274178DC"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2,23</w:t>
            </w:r>
          </w:p>
        </w:tc>
      </w:tr>
      <w:tr w:rsidR="00D65C3B" w:rsidRPr="00D65C3B" w14:paraId="2A0076F6" w14:textId="77777777" w:rsidTr="004774AC">
        <w:trPr>
          <w:trHeight w:val="300"/>
        </w:trPr>
        <w:tc>
          <w:tcPr>
            <w:tcW w:w="1413" w:type="dxa"/>
            <w:noWrap/>
            <w:hideMark/>
          </w:tcPr>
          <w:p w14:paraId="765300D7"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10</w:t>
            </w:r>
          </w:p>
        </w:tc>
        <w:tc>
          <w:tcPr>
            <w:tcW w:w="3118" w:type="dxa"/>
            <w:noWrap/>
            <w:hideMark/>
          </w:tcPr>
          <w:p w14:paraId="695420A1"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Cabernet sauvignon ukupno</w:t>
            </w:r>
          </w:p>
        </w:tc>
        <w:tc>
          <w:tcPr>
            <w:tcW w:w="2381" w:type="dxa"/>
            <w:noWrap/>
            <w:hideMark/>
          </w:tcPr>
          <w:p w14:paraId="5B74A950"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30.143</w:t>
            </w:r>
          </w:p>
        </w:tc>
        <w:tc>
          <w:tcPr>
            <w:tcW w:w="2268" w:type="dxa"/>
            <w:noWrap/>
            <w:hideMark/>
          </w:tcPr>
          <w:p w14:paraId="25904053"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2,00</w:t>
            </w:r>
          </w:p>
        </w:tc>
      </w:tr>
      <w:tr w:rsidR="00D65C3B" w:rsidRPr="00D65C3B" w14:paraId="06A644F6" w14:textId="77777777" w:rsidTr="004774AC">
        <w:trPr>
          <w:trHeight w:val="300"/>
        </w:trPr>
        <w:tc>
          <w:tcPr>
            <w:tcW w:w="1413" w:type="dxa"/>
            <w:noWrap/>
            <w:hideMark/>
          </w:tcPr>
          <w:p w14:paraId="6EE087CB"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11</w:t>
            </w:r>
          </w:p>
        </w:tc>
        <w:tc>
          <w:tcPr>
            <w:tcW w:w="3118" w:type="dxa"/>
            <w:noWrap/>
            <w:hideMark/>
          </w:tcPr>
          <w:p w14:paraId="36C65B13"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Syrah ukupno</w:t>
            </w:r>
          </w:p>
        </w:tc>
        <w:tc>
          <w:tcPr>
            <w:tcW w:w="2381" w:type="dxa"/>
            <w:noWrap/>
            <w:hideMark/>
          </w:tcPr>
          <w:p w14:paraId="72A0CA21"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28.505</w:t>
            </w:r>
          </w:p>
        </w:tc>
        <w:tc>
          <w:tcPr>
            <w:tcW w:w="2268" w:type="dxa"/>
            <w:noWrap/>
            <w:hideMark/>
          </w:tcPr>
          <w:p w14:paraId="1D775937"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1,90</w:t>
            </w:r>
          </w:p>
        </w:tc>
      </w:tr>
      <w:tr w:rsidR="00D65C3B" w:rsidRPr="00D65C3B" w14:paraId="1191E132" w14:textId="77777777" w:rsidTr="004774AC">
        <w:trPr>
          <w:trHeight w:val="300"/>
        </w:trPr>
        <w:tc>
          <w:tcPr>
            <w:tcW w:w="1413" w:type="dxa"/>
            <w:noWrap/>
            <w:hideMark/>
          </w:tcPr>
          <w:p w14:paraId="33B04AC3"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12</w:t>
            </w:r>
          </w:p>
        </w:tc>
        <w:tc>
          <w:tcPr>
            <w:tcW w:w="3118" w:type="dxa"/>
            <w:noWrap/>
            <w:hideMark/>
          </w:tcPr>
          <w:p w14:paraId="0D30F9ED"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Frankovka ukupno</w:t>
            </w:r>
          </w:p>
        </w:tc>
        <w:tc>
          <w:tcPr>
            <w:tcW w:w="2381" w:type="dxa"/>
            <w:noWrap/>
            <w:hideMark/>
          </w:tcPr>
          <w:p w14:paraId="2AF0BFD5"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28.316</w:t>
            </w:r>
          </w:p>
        </w:tc>
        <w:tc>
          <w:tcPr>
            <w:tcW w:w="2268" w:type="dxa"/>
            <w:noWrap/>
            <w:hideMark/>
          </w:tcPr>
          <w:p w14:paraId="70FC13D6"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1,88</w:t>
            </w:r>
          </w:p>
        </w:tc>
      </w:tr>
      <w:tr w:rsidR="00D65C3B" w:rsidRPr="00D65C3B" w14:paraId="616DFA70" w14:textId="77777777" w:rsidTr="004774AC">
        <w:trPr>
          <w:trHeight w:val="300"/>
        </w:trPr>
        <w:tc>
          <w:tcPr>
            <w:tcW w:w="1413" w:type="dxa"/>
            <w:noWrap/>
            <w:hideMark/>
          </w:tcPr>
          <w:p w14:paraId="2478F6BC"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13</w:t>
            </w:r>
          </w:p>
        </w:tc>
        <w:tc>
          <w:tcPr>
            <w:tcW w:w="3118" w:type="dxa"/>
            <w:noWrap/>
            <w:hideMark/>
          </w:tcPr>
          <w:p w14:paraId="4F9E4D48"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Victoria ukupno</w:t>
            </w:r>
          </w:p>
        </w:tc>
        <w:tc>
          <w:tcPr>
            <w:tcW w:w="2381" w:type="dxa"/>
            <w:noWrap/>
            <w:hideMark/>
          </w:tcPr>
          <w:p w14:paraId="0707ABD6"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27.254</w:t>
            </w:r>
          </w:p>
        </w:tc>
        <w:tc>
          <w:tcPr>
            <w:tcW w:w="2268" w:type="dxa"/>
            <w:noWrap/>
            <w:hideMark/>
          </w:tcPr>
          <w:p w14:paraId="4C57DAB4"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1,81</w:t>
            </w:r>
          </w:p>
        </w:tc>
      </w:tr>
      <w:tr w:rsidR="00D65C3B" w:rsidRPr="00D65C3B" w14:paraId="2BA27E1A" w14:textId="77777777" w:rsidTr="004774AC">
        <w:trPr>
          <w:trHeight w:val="300"/>
        </w:trPr>
        <w:tc>
          <w:tcPr>
            <w:tcW w:w="1413" w:type="dxa"/>
            <w:noWrap/>
            <w:hideMark/>
          </w:tcPr>
          <w:p w14:paraId="532D8CBA"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14</w:t>
            </w:r>
          </w:p>
        </w:tc>
        <w:tc>
          <w:tcPr>
            <w:tcW w:w="3118" w:type="dxa"/>
            <w:noWrap/>
            <w:hideMark/>
          </w:tcPr>
          <w:p w14:paraId="157CA6F2"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Cardinal ukupno</w:t>
            </w:r>
          </w:p>
        </w:tc>
        <w:tc>
          <w:tcPr>
            <w:tcW w:w="2381" w:type="dxa"/>
            <w:noWrap/>
            <w:hideMark/>
          </w:tcPr>
          <w:p w14:paraId="6A1D508D"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25.852</w:t>
            </w:r>
          </w:p>
        </w:tc>
        <w:tc>
          <w:tcPr>
            <w:tcW w:w="2268" w:type="dxa"/>
            <w:noWrap/>
            <w:hideMark/>
          </w:tcPr>
          <w:p w14:paraId="01A82BBC"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1,72</w:t>
            </w:r>
          </w:p>
        </w:tc>
      </w:tr>
      <w:tr w:rsidR="00D65C3B" w:rsidRPr="00D65C3B" w14:paraId="3722773D" w14:textId="77777777" w:rsidTr="004774AC">
        <w:trPr>
          <w:trHeight w:val="300"/>
        </w:trPr>
        <w:tc>
          <w:tcPr>
            <w:tcW w:w="1413" w:type="dxa"/>
            <w:noWrap/>
            <w:hideMark/>
          </w:tcPr>
          <w:p w14:paraId="13CC64C5"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15</w:t>
            </w:r>
          </w:p>
        </w:tc>
        <w:tc>
          <w:tcPr>
            <w:tcW w:w="3118" w:type="dxa"/>
            <w:noWrap/>
            <w:hideMark/>
          </w:tcPr>
          <w:p w14:paraId="234296D3"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Silvanac zeleni ukupno</w:t>
            </w:r>
          </w:p>
        </w:tc>
        <w:tc>
          <w:tcPr>
            <w:tcW w:w="2381" w:type="dxa"/>
            <w:noWrap/>
            <w:hideMark/>
          </w:tcPr>
          <w:p w14:paraId="4CA0CFCA"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24.529</w:t>
            </w:r>
          </w:p>
        </w:tc>
        <w:tc>
          <w:tcPr>
            <w:tcW w:w="2268" w:type="dxa"/>
            <w:noWrap/>
            <w:hideMark/>
          </w:tcPr>
          <w:p w14:paraId="5050643E"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1,63</w:t>
            </w:r>
          </w:p>
        </w:tc>
      </w:tr>
      <w:tr w:rsidR="00D65C3B" w:rsidRPr="00D65C3B" w14:paraId="66E1C381" w14:textId="77777777" w:rsidTr="004774AC">
        <w:trPr>
          <w:trHeight w:val="300"/>
        </w:trPr>
        <w:tc>
          <w:tcPr>
            <w:tcW w:w="1413" w:type="dxa"/>
            <w:noWrap/>
            <w:hideMark/>
          </w:tcPr>
          <w:p w14:paraId="40453B66"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16</w:t>
            </w:r>
          </w:p>
        </w:tc>
        <w:tc>
          <w:tcPr>
            <w:tcW w:w="3118" w:type="dxa"/>
            <w:noWrap/>
            <w:hideMark/>
          </w:tcPr>
          <w:p w14:paraId="3B048289"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Pinot sivi ukupno</w:t>
            </w:r>
          </w:p>
        </w:tc>
        <w:tc>
          <w:tcPr>
            <w:tcW w:w="2381" w:type="dxa"/>
            <w:noWrap/>
            <w:hideMark/>
          </w:tcPr>
          <w:p w14:paraId="37108A60"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22.091</w:t>
            </w:r>
          </w:p>
        </w:tc>
        <w:tc>
          <w:tcPr>
            <w:tcW w:w="2268" w:type="dxa"/>
            <w:noWrap/>
            <w:hideMark/>
          </w:tcPr>
          <w:p w14:paraId="10995F18"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1,47</w:t>
            </w:r>
          </w:p>
        </w:tc>
      </w:tr>
      <w:tr w:rsidR="00D65C3B" w:rsidRPr="00D65C3B" w14:paraId="468322C8" w14:textId="77777777" w:rsidTr="004774AC">
        <w:trPr>
          <w:trHeight w:val="300"/>
        </w:trPr>
        <w:tc>
          <w:tcPr>
            <w:tcW w:w="1413" w:type="dxa"/>
            <w:noWrap/>
            <w:hideMark/>
          </w:tcPr>
          <w:p w14:paraId="7E161702"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17</w:t>
            </w:r>
          </w:p>
        </w:tc>
        <w:tc>
          <w:tcPr>
            <w:tcW w:w="3118" w:type="dxa"/>
            <w:noWrap/>
            <w:hideMark/>
          </w:tcPr>
          <w:p w14:paraId="307D9E31"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Babić ukupno</w:t>
            </w:r>
          </w:p>
        </w:tc>
        <w:tc>
          <w:tcPr>
            <w:tcW w:w="2381" w:type="dxa"/>
            <w:noWrap/>
            <w:hideMark/>
          </w:tcPr>
          <w:p w14:paraId="5E2A7805"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20.735</w:t>
            </w:r>
          </w:p>
        </w:tc>
        <w:tc>
          <w:tcPr>
            <w:tcW w:w="2268" w:type="dxa"/>
            <w:noWrap/>
            <w:hideMark/>
          </w:tcPr>
          <w:p w14:paraId="1E4B36D4"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1,38</w:t>
            </w:r>
          </w:p>
        </w:tc>
      </w:tr>
      <w:tr w:rsidR="00D65C3B" w:rsidRPr="00D65C3B" w14:paraId="12632C50" w14:textId="77777777" w:rsidTr="004774AC">
        <w:trPr>
          <w:trHeight w:val="300"/>
        </w:trPr>
        <w:tc>
          <w:tcPr>
            <w:tcW w:w="1413" w:type="dxa"/>
            <w:noWrap/>
            <w:hideMark/>
          </w:tcPr>
          <w:p w14:paraId="2FDA1C3D"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18</w:t>
            </w:r>
          </w:p>
        </w:tc>
        <w:tc>
          <w:tcPr>
            <w:tcW w:w="3118" w:type="dxa"/>
            <w:noWrap/>
            <w:hideMark/>
          </w:tcPr>
          <w:p w14:paraId="5D7A11DF"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Kraljevina ukupno</w:t>
            </w:r>
          </w:p>
        </w:tc>
        <w:tc>
          <w:tcPr>
            <w:tcW w:w="2381" w:type="dxa"/>
            <w:noWrap/>
            <w:hideMark/>
          </w:tcPr>
          <w:p w14:paraId="2F0C7D51"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20.603</w:t>
            </w:r>
          </w:p>
        </w:tc>
        <w:tc>
          <w:tcPr>
            <w:tcW w:w="2268" w:type="dxa"/>
            <w:noWrap/>
            <w:hideMark/>
          </w:tcPr>
          <w:p w14:paraId="0D305615"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1,37</w:t>
            </w:r>
          </w:p>
        </w:tc>
      </w:tr>
      <w:tr w:rsidR="00D65C3B" w:rsidRPr="00D65C3B" w14:paraId="422F5FAC" w14:textId="77777777" w:rsidTr="004774AC">
        <w:trPr>
          <w:trHeight w:val="300"/>
        </w:trPr>
        <w:tc>
          <w:tcPr>
            <w:tcW w:w="1413" w:type="dxa"/>
            <w:noWrap/>
            <w:hideMark/>
          </w:tcPr>
          <w:p w14:paraId="01A7B3E3"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19</w:t>
            </w:r>
          </w:p>
        </w:tc>
        <w:tc>
          <w:tcPr>
            <w:tcW w:w="3118" w:type="dxa"/>
            <w:noWrap/>
            <w:hideMark/>
          </w:tcPr>
          <w:p w14:paraId="19ACAF22"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Traminac ukupno</w:t>
            </w:r>
          </w:p>
        </w:tc>
        <w:tc>
          <w:tcPr>
            <w:tcW w:w="2381" w:type="dxa"/>
            <w:noWrap/>
            <w:hideMark/>
          </w:tcPr>
          <w:p w14:paraId="10C77084"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20.251</w:t>
            </w:r>
          </w:p>
        </w:tc>
        <w:tc>
          <w:tcPr>
            <w:tcW w:w="2268" w:type="dxa"/>
            <w:noWrap/>
            <w:hideMark/>
          </w:tcPr>
          <w:p w14:paraId="4E3429AB"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1,35</w:t>
            </w:r>
          </w:p>
        </w:tc>
      </w:tr>
      <w:tr w:rsidR="00D65C3B" w:rsidRPr="00D65C3B" w14:paraId="21436E0B" w14:textId="77777777" w:rsidTr="004774AC">
        <w:trPr>
          <w:trHeight w:val="300"/>
        </w:trPr>
        <w:tc>
          <w:tcPr>
            <w:tcW w:w="1413" w:type="dxa"/>
            <w:noWrap/>
            <w:hideMark/>
          </w:tcPr>
          <w:p w14:paraId="2E7623D9"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20</w:t>
            </w:r>
          </w:p>
        </w:tc>
        <w:tc>
          <w:tcPr>
            <w:tcW w:w="3118" w:type="dxa"/>
            <w:noWrap/>
            <w:hideMark/>
          </w:tcPr>
          <w:p w14:paraId="054A17EC"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Plavina ukupno</w:t>
            </w:r>
          </w:p>
        </w:tc>
        <w:tc>
          <w:tcPr>
            <w:tcW w:w="2381" w:type="dxa"/>
            <w:noWrap/>
            <w:hideMark/>
          </w:tcPr>
          <w:p w14:paraId="06847548"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19.919</w:t>
            </w:r>
          </w:p>
        </w:tc>
        <w:tc>
          <w:tcPr>
            <w:tcW w:w="2268" w:type="dxa"/>
            <w:noWrap/>
            <w:hideMark/>
          </w:tcPr>
          <w:p w14:paraId="2293F5A5"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1,32</w:t>
            </w:r>
          </w:p>
        </w:tc>
      </w:tr>
      <w:tr w:rsidR="00D65C3B" w:rsidRPr="00D65C3B" w14:paraId="7B9A7387" w14:textId="77777777" w:rsidTr="004774AC">
        <w:trPr>
          <w:trHeight w:val="300"/>
        </w:trPr>
        <w:tc>
          <w:tcPr>
            <w:tcW w:w="1413" w:type="dxa"/>
            <w:noWrap/>
            <w:hideMark/>
          </w:tcPr>
          <w:p w14:paraId="32E17131"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21</w:t>
            </w:r>
          </w:p>
        </w:tc>
        <w:tc>
          <w:tcPr>
            <w:tcW w:w="3118" w:type="dxa"/>
            <w:noWrap/>
            <w:hideMark/>
          </w:tcPr>
          <w:p w14:paraId="0DC02C70"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Kujundžuša ukupno</w:t>
            </w:r>
          </w:p>
        </w:tc>
        <w:tc>
          <w:tcPr>
            <w:tcW w:w="2381" w:type="dxa"/>
            <w:noWrap/>
            <w:hideMark/>
          </w:tcPr>
          <w:p w14:paraId="20756AAE"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19.689</w:t>
            </w:r>
          </w:p>
        </w:tc>
        <w:tc>
          <w:tcPr>
            <w:tcW w:w="2268" w:type="dxa"/>
            <w:noWrap/>
            <w:hideMark/>
          </w:tcPr>
          <w:p w14:paraId="538A4C35"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1,31</w:t>
            </w:r>
          </w:p>
        </w:tc>
      </w:tr>
      <w:tr w:rsidR="00D65C3B" w:rsidRPr="00D65C3B" w14:paraId="39E8D295" w14:textId="77777777" w:rsidTr="004774AC">
        <w:trPr>
          <w:trHeight w:val="300"/>
        </w:trPr>
        <w:tc>
          <w:tcPr>
            <w:tcW w:w="1413" w:type="dxa"/>
            <w:noWrap/>
            <w:hideMark/>
          </w:tcPr>
          <w:p w14:paraId="6F4EFFEC"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22</w:t>
            </w:r>
          </w:p>
        </w:tc>
        <w:tc>
          <w:tcPr>
            <w:tcW w:w="3118" w:type="dxa"/>
            <w:noWrap/>
            <w:hideMark/>
          </w:tcPr>
          <w:p w14:paraId="44BCE091"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Malvazija istarska bijela ukupno</w:t>
            </w:r>
          </w:p>
        </w:tc>
        <w:tc>
          <w:tcPr>
            <w:tcW w:w="2381" w:type="dxa"/>
            <w:noWrap/>
            <w:hideMark/>
          </w:tcPr>
          <w:p w14:paraId="1D0000CE"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19.290</w:t>
            </w:r>
          </w:p>
        </w:tc>
        <w:tc>
          <w:tcPr>
            <w:tcW w:w="2268" w:type="dxa"/>
            <w:noWrap/>
            <w:hideMark/>
          </w:tcPr>
          <w:p w14:paraId="242BA86B"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1,28</w:t>
            </w:r>
          </w:p>
        </w:tc>
      </w:tr>
      <w:tr w:rsidR="00D65C3B" w:rsidRPr="00D65C3B" w14:paraId="336EBFA0" w14:textId="77777777" w:rsidTr="004774AC">
        <w:trPr>
          <w:trHeight w:val="300"/>
        </w:trPr>
        <w:tc>
          <w:tcPr>
            <w:tcW w:w="1413" w:type="dxa"/>
            <w:noWrap/>
            <w:hideMark/>
          </w:tcPr>
          <w:p w14:paraId="33E3836F"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23</w:t>
            </w:r>
          </w:p>
        </w:tc>
        <w:tc>
          <w:tcPr>
            <w:tcW w:w="3118" w:type="dxa"/>
            <w:noWrap/>
            <w:hideMark/>
          </w:tcPr>
          <w:p w14:paraId="3A3602FB"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Muškat žuti ukupno</w:t>
            </w:r>
          </w:p>
        </w:tc>
        <w:tc>
          <w:tcPr>
            <w:tcW w:w="2381" w:type="dxa"/>
            <w:noWrap/>
            <w:hideMark/>
          </w:tcPr>
          <w:p w14:paraId="451D1FDD"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19.149</w:t>
            </w:r>
          </w:p>
        </w:tc>
        <w:tc>
          <w:tcPr>
            <w:tcW w:w="2268" w:type="dxa"/>
            <w:noWrap/>
            <w:hideMark/>
          </w:tcPr>
          <w:p w14:paraId="095C4279"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1,27</w:t>
            </w:r>
          </w:p>
        </w:tc>
      </w:tr>
      <w:tr w:rsidR="00D65C3B" w:rsidRPr="00D65C3B" w14:paraId="5B705D82" w14:textId="77777777" w:rsidTr="004774AC">
        <w:trPr>
          <w:trHeight w:val="300"/>
        </w:trPr>
        <w:tc>
          <w:tcPr>
            <w:tcW w:w="1413" w:type="dxa"/>
            <w:noWrap/>
            <w:hideMark/>
          </w:tcPr>
          <w:p w14:paraId="3ABA2249"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24</w:t>
            </w:r>
          </w:p>
        </w:tc>
        <w:tc>
          <w:tcPr>
            <w:tcW w:w="3118" w:type="dxa"/>
            <w:noWrap/>
            <w:hideMark/>
          </w:tcPr>
          <w:p w14:paraId="11C21719"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Crljenak kaštelanski ukupno</w:t>
            </w:r>
          </w:p>
        </w:tc>
        <w:tc>
          <w:tcPr>
            <w:tcW w:w="2381" w:type="dxa"/>
            <w:noWrap/>
            <w:hideMark/>
          </w:tcPr>
          <w:p w14:paraId="5DFCE5FC"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18.690</w:t>
            </w:r>
          </w:p>
        </w:tc>
        <w:tc>
          <w:tcPr>
            <w:tcW w:w="2268" w:type="dxa"/>
            <w:noWrap/>
            <w:hideMark/>
          </w:tcPr>
          <w:p w14:paraId="4A0FCE76"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1,24</w:t>
            </w:r>
          </w:p>
        </w:tc>
      </w:tr>
      <w:tr w:rsidR="00D65C3B" w:rsidRPr="00D65C3B" w14:paraId="594A2C48" w14:textId="77777777" w:rsidTr="004774AC">
        <w:trPr>
          <w:trHeight w:val="300"/>
        </w:trPr>
        <w:tc>
          <w:tcPr>
            <w:tcW w:w="1413" w:type="dxa"/>
            <w:noWrap/>
            <w:hideMark/>
          </w:tcPr>
          <w:p w14:paraId="00C01980"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25</w:t>
            </w:r>
          </w:p>
        </w:tc>
        <w:tc>
          <w:tcPr>
            <w:tcW w:w="3118" w:type="dxa"/>
            <w:noWrap/>
            <w:hideMark/>
          </w:tcPr>
          <w:p w14:paraId="649EEBBC"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Debit ukupno</w:t>
            </w:r>
          </w:p>
        </w:tc>
        <w:tc>
          <w:tcPr>
            <w:tcW w:w="2381" w:type="dxa"/>
            <w:noWrap/>
            <w:hideMark/>
          </w:tcPr>
          <w:p w14:paraId="3FC679E4"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16.290</w:t>
            </w:r>
          </w:p>
        </w:tc>
        <w:tc>
          <w:tcPr>
            <w:tcW w:w="2268" w:type="dxa"/>
            <w:noWrap/>
            <w:hideMark/>
          </w:tcPr>
          <w:p w14:paraId="3C3F0907"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1,08</w:t>
            </w:r>
          </w:p>
        </w:tc>
      </w:tr>
      <w:tr w:rsidR="00D65C3B" w:rsidRPr="00D65C3B" w14:paraId="4249399C" w14:textId="77777777" w:rsidTr="004774AC">
        <w:trPr>
          <w:trHeight w:val="300"/>
        </w:trPr>
        <w:tc>
          <w:tcPr>
            <w:tcW w:w="1413" w:type="dxa"/>
            <w:noWrap/>
            <w:hideMark/>
          </w:tcPr>
          <w:p w14:paraId="0D919EBA"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tc>
        <w:tc>
          <w:tcPr>
            <w:tcW w:w="3118" w:type="dxa"/>
            <w:noWrap/>
            <w:hideMark/>
          </w:tcPr>
          <w:p w14:paraId="2682ED82"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Ostale sorte</w:t>
            </w:r>
          </w:p>
        </w:tc>
        <w:tc>
          <w:tcPr>
            <w:tcW w:w="2381" w:type="dxa"/>
            <w:noWrap/>
            <w:hideMark/>
          </w:tcPr>
          <w:p w14:paraId="07DE66F3"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316.528</w:t>
            </w:r>
          </w:p>
        </w:tc>
        <w:tc>
          <w:tcPr>
            <w:tcW w:w="2268" w:type="dxa"/>
            <w:noWrap/>
            <w:hideMark/>
          </w:tcPr>
          <w:p w14:paraId="7A204021"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21,05</w:t>
            </w:r>
          </w:p>
        </w:tc>
      </w:tr>
      <w:tr w:rsidR="00D65C3B" w:rsidRPr="00D65C3B" w14:paraId="1719D6B8" w14:textId="77777777" w:rsidTr="004774AC">
        <w:trPr>
          <w:trHeight w:val="300"/>
        </w:trPr>
        <w:tc>
          <w:tcPr>
            <w:tcW w:w="1413" w:type="dxa"/>
            <w:noWrap/>
            <w:hideMark/>
          </w:tcPr>
          <w:p w14:paraId="0E33E6D3"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tc>
        <w:tc>
          <w:tcPr>
            <w:tcW w:w="3118" w:type="dxa"/>
            <w:noWrap/>
            <w:hideMark/>
          </w:tcPr>
          <w:p w14:paraId="782AD543" w14:textId="77777777" w:rsidR="00D65C3B" w:rsidRPr="00D65C3B" w:rsidRDefault="00D65C3B" w:rsidP="00D65C3B">
            <w:pPr>
              <w:spacing w:before="120" w:after="120" w:line="276" w:lineRule="auto"/>
              <w:contextualSpacing/>
              <w:rPr>
                <w:rFonts w:ascii="Times New Roman" w:hAnsi="Times New Roman" w:cs="Times New Roman"/>
                <w:b/>
                <w:bCs/>
                <w:lang w:eastAsia="en-US"/>
              </w:rPr>
            </w:pPr>
            <w:r w:rsidRPr="00D65C3B">
              <w:rPr>
                <w:rFonts w:ascii="Times New Roman" w:hAnsi="Times New Roman" w:cs="Times New Roman"/>
                <w:b/>
                <w:bCs/>
                <w:lang w:eastAsia="en-US"/>
              </w:rPr>
              <w:t xml:space="preserve">Sveukupno </w:t>
            </w:r>
          </w:p>
        </w:tc>
        <w:tc>
          <w:tcPr>
            <w:tcW w:w="2381" w:type="dxa"/>
            <w:noWrap/>
            <w:hideMark/>
          </w:tcPr>
          <w:p w14:paraId="1E44566A" w14:textId="77777777" w:rsidR="00D65C3B" w:rsidRPr="00D65C3B" w:rsidRDefault="00D65C3B" w:rsidP="00D65C3B">
            <w:pPr>
              <w:spacing w:before="120" w:after="120" w:line="276" w:lineRule="auto"/>
              <w:contextualSpacing/>
              <w:jc w:val="right"/>
              <w:rPr>
                <w:rFonts w:ascii="Times New Roman" w:hAnsi="Times New Roman" w:cs="Times New Roman"/>
                <w:b/>
                <w:bCs/>
                <w:lang w:eastAsia="en-US"/>
              </w:rPr>
            </w:pPr>
            <w:r w:rsidRPr="00D65C3B">
              <w:rPr>
                <w:rFonts w:ascii="Times New Roman" w:hAnsi="Times New Roman" w:cs="Times New Roman"/>
                <w:b/>
                <w:bCs/>
                <w:lang w:eastAsia="en-US"/>
              </w:rPr>
              <w:t>1.503.374</w:t>
            </w:r>
          </w:p>
        </w:tc>
        <w:tc>
          <w:tcPr>
            <w:tcW w:w="2268" w:type="dxa"/>
            <w:noWrap/>
            <w:hideMark/>
          </w:tcPr>
          <w:p w14:paraId="3EB3E9B7" w14:textId="77777777" w:rsidR="00D65C3B" w:rsidRPr="00D65C3B" w:rsidRDefault="00D65C3B" w:rsidP="00D65C3B">
            <w:pPr>
              <w:spacing w:before="120" w:after="120" w:line="276" w:lineRule="auto"/>
              <w:contextualSpacing/>
              <w:jc w:val="right"/>
              <w:rPr>
                <w:rFonts w:ascii="Times New Roman" w:hAnsi="Times New Roman" w:cs="Times New Roman"/>
                <w:b/>
                <w:bCs/>
                <w:lang w:eastAsia="en-US"/>
              </w:rPr>
            </w:pPr>
            <w:r w:rsidRPr="00D65C3B">
              <w:rPr>
                <w:rFonts w:ascii="Times New Roman" w:hAnsi="Times New Roman" w:cs="Times New Roman"/>
                <w:b/>
                <w:bCs/>
                <w:lang w:eastAsia="en-US"/>
              </w:rPr>
              <w:t>100,00</w:t>
            </w:r>
          </w:p>
        </w:tc>
      </w:tr>
    </w:tbl>
    <w:p w14:paraId="554EFE06" w14:textId="77777777" w:rsidR="00D65C3B" w:rsidRPr="00D65C3B" w:rsidRDefault="00D65C3B" w:rsidP="00D65C3B">
      <w:pPr>
        <w:spacing w:before="120" w:after="120" w:line="276" w:lineRule="auto"/>
        <w:contextualSpacing/>
        <w:jc w:val="both"/>
        <w:rPr>
          <w:rFonts w:ascii="Times New Roman" w:hAnsi="Times New Roman" w:cs="Times New Roman"/>
          <w:b/>
          <w:sz w:val="20"/>
          <w:szCs w:val="20"/>
          <w:lang w:eastAsia="en-US"/>
        </w:rPr>
      </w:pPr>
      <w:r w:rsidRPr="00D65C3B">
        <w:rPr>
          <w:rFonts w:ascii="Times New Roman" w:hAnsi="Times New Roman" w:cs="Times New Roman"/>
          <w:b/>
          <w:sz w:val="20"/>
          <w:szCs w:val="20"/>
          <w:lang w:eastAsia="en-US"/>
        </w:rPr>
        <w:t>Tablica 2. Prosječna godišnja proizvodnja sadnog materijala loze u razdoblju od 2017. do 2022. (izvor: HAPIH – CSR)</w:t>
      </w:r>
    </w:p>
    <w:p w14:paraId="52741A53"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tbl>
      <w:tblPr>
        <w:tblStyle w:val="TableGrid"/>
        <w:tblW w:w="9067" w:type="dxa"/>
        <w:tblLook w:val="04A0" w:firstRow="1" w:lastRow="0" w:firstColumn="1" w:lastColumn="0" w:noHBand="0" w:noVBand="1"/>
      </w:tblPr>
      <w:tblGrid>
        <w:gridCol w:w="1340"/>
        <w:gridCol w:w="3191"/>
        <w:gridCol w:w="1985"/>
        <w:gridCol w:w="2551"/>
      </w:tblGrid>
      <w:tr w:rsidR="00D65C3B" w:rsidRPr="00D65C3B" w14:paraId="5EDD38C7" w14:textId="77777777" w:rsidTr="004774AC">
        <w:trPr>
          <w:trHeight w:val="315"/>
        </w:trPr>
        <w:tc>
          <w:tcPr>
            <w:tcW w:w="1340" w:type="dxa"/>
            <w:vMerge w:val="restart"/>
            <w:noWrap/>
            <w:vAlign w:val="center"/>
          </w:tcPr>
          <w:p w14:paraId="4B22BC71" w14:textId="77777777" w:rsidR="00D65C3B" w:rsidRPr="00D65C3B" w:rsidRDefault="00D65C3B" w:rsidP="00D65C3B">
            <w:pPr>
              <w:spacing w:before="120" w:after="120" w:line="276" w:lineRule="auto"/>
              <w:contextualSpacing/>
              <w:jc w:val="center"/>
              <w:rPr>
                <w:rFonts w:ascii="Times New Roman" w:hAnsi="Times New Roman" w:cs="Times New Roman"/>
                <w:b/>
                <w:bCs/>
                <w:lang w:eastAsia="en-US"/>
              </w:rPr>
            </w:pPr>
            <w:r w:rsidRPr="00D65C3B">
              <w:rPr>
                <w:rFonts w:ascii="Times New Roman" w:hAnsi="Times New Roman" w:cs="Times New Roman"/>
                <w:b/>
                <w:bCs/>
                <w:lang w:eastAsia="en-US"/>
              </w:rPr>
              <w:t>Godina</w:t>
            </w:r>
          </w:p>
        </w:tc>
        <w:tc>
          <w:tcPr>
            <w:tcW w:w="3191" w:type="dxa"/>
            <w:vMerge w:val="restart"/>
            <w:noWrap/>
            <w:vAlign w:val="center"/>
          </w:tcPr>
          <w:p w14:paraId="0EA4102C" w14:textId="77777777" w:rsidR="00D65C3B" w:rsidRPr="00D65C3B" w:rsidRDefault="00D65C3B" w:rsidP="00D65C3B">
            <w:pPr>
              <w:spacing w:before="120" w:after="120" w:line="276" w:lineRule="auto"/>
              <w:contextualSpacing/>
              <w:jc w:val="center"/>
              <w:rPr>
                <w:rFonts w:ascii="Times New Roman" w:hAnsi="Times New Roman" w:cs="Times New Roman"/>
                <w:b/>
                <w:bCs/>
                <w:lang w:eastAsia="en-US"/>
              </w:rPr>
            </w:pPr>
            <w:r w:rsidRPr="00D65C3B">
              <w:rPr>
                <w:rFonts w:ascii="Times New Roman" w:hAnsi="Times New Roman" w:cs="Times New Roman"/>
                <w:b/>
                <w:bCs/>
                <w:lang w:eastAsia="en-US"/>
              </w:rPr>
              <w:t>ukupni broj cijepova (kom)</w:t>
            </w:r>
          </w:p>
        </w:tc>
        <w:tc>
          <w:tcPr>
            <w:tcW w:w="4536" w:type="dxa"/>
            <w:gridSpan w:val="2"/>
            <w:noWrap/>
            <w:vAlign w:val="center"/>
          </w:tcPr>
          <w:p w14:paraId="470D28A6" w14:textId="77777777" w:rsidR="00D65C3B" w:rsidRPr="00D65C3B" w:rsidRDefault="00D65C3B" w:rsidP="00D65C3B">
            <w:pPr>
              <w:spacing w:before="120" w:after="120" w:line="276" w:lineRule="auto"/>
              <w:contextualSpacing/>
              <w:jc w:val="center"/>
              <w:rPr>
                <w:rFonts w:ascii="Times New Roman" w:hAnsi="Times New Roman" w:cs="Times New Roman"/>
                <w:b/>
                <w:bCs/>
                <w:lang w:eastAsia="en-US"/>
              </w:rPr>
            </w:pPr>
            <w:r w:rsidRPr="00D65C3B">
              <w:rPr>
                <w:rFonts w:ascii="Times New Roman" w:hAnsi="Times New Roman" w:cs="Times New Roman"/>
                <w:b/>
                <w:bCs/>
                <w:lang w:eastAsia="en-US"/>
              </w:rPr>
              <w:t>Kategorija</w:t>
            </w:r>
          </w:p>
        </w:tc>
      </w:tr>
      <w:tr w:rsidR="00D65C3B" w:rsidRPr="00D65C3B" w14:paraId="2CFCB1F4" w14:textId="77777777" w:rsidTr="004774AC">
        <w:trPr>
          <w:trHeight w:val="315"/>
        </w:trPr>
        <w:tc>
          <w:tcPr>
            <w:tcW w:w="1340" w:type="dxa"/>
            <w:vMerge/>
            <w:noWrap/>
            <w:hideMark/>
          </w:tcPr>
          <w:p w14:paraId="67D80747" w14:textId="77777777" w:rsidR="00D65C3B" w:rsidRPr="00D65C3B" w:rsidRDefault="00D65C3B" w:rsidP="00D65C3B">
            <w:pPr>
              <w:spacing w:before="120" w:after="120" w:line="276" w:lineRule="auto"/>
              <w:contextualSpacing/>
              <w:jc w:val="center"/>
              <w:rPr>
                <w:rFonts w:ascii="Times New Roman" w:hAnsi="Times New Roman" w:cs="Times New Roman"/>
                <w:b/>
                <w:bCs/>
                <w:lang w:eastAsia="en-US"/>
              </w:rPr>
            </w:pPr>
          </w:p>
        </w:tc>
        <w:tc>
          <w:tcPr>
            <w:tcW w:w="3191" w:type="dxa"/>
            <w:vMerge/>
            <w:noWrap/>
            <w:hideMark/>
          </w:tcPr>
          <w:p w14:paraId="659C1897" w14:textId="77777777" w:rsidR="00D65C3B" w:rsidRPr="00D65C3B" w:rsidRDefault="00D65C3B" w:rsidP="00D65C3B">
            <w:pPr>
              <w:spacing w:before="120" w:after="120" w:line="276" w:lineRule="auto"/>
              <w:contextualSpacing/>
              <w:jc w:val="center"/>
              <w:rPr>
                <w:rFonts w:ascii="Times New Roman" w:hAnsi="Times New Roman" w:cs="Times New Roman"/>
                <w:b/>
                <w:bCs/>
                <w:lang w:eastAsia="en-US"/>
              </w:rPr>
            </w:pPr>
          </w:p>
        </w:tc>
        <w:tc>
          <w:tcPr>
            <w:tcW w:w="1985" w:type="dxa"/>
            <w:noWrap/>
            <w:hideMark/>
          </w:tcPr>
          <w:p w14:paraId="306844FA" w14:textId="77777777" w:rsidR="00D65C3B" w:rsidRPr="00D65C3B" w:rsidRDefault="00D65C3B" w:rsidP="00D65C3B">
            <w:pPr>
              <w:spacing w:before="120" w:after="120" w:line="276" w:lineRule="auto"/>
              <w:contextualSpacing/>
              <w:jc w:val="center"/>
              <w:rPr>
                <w:rFonts w:ascii="Times New Roman" w:hAnsi="Times New Roman" w:cs="Times New Roman"/>
                <w:b/>
                <w:bCs/>
                <w:lang w:eastAsia="en-US"/>
              </w:rPr>
            </w:pPr>
            <w:r w:rsidRPr="00D65C3B">
              <w:rPr>
                <w:rFonts w:ascii="Times New Roman" w:hAnsi="Times New Roman" w:cs="Times New Roman"/>
                <w:b/>
                <w:bCs/>
                <w:lang w:eastAsia="en-US"/>
              </w:rPr>
              <w:t>Certificirani</w:t>
            </w:r>
          </w:p>
        </w:tc>
        <w:tc>
          <w:tcPr>
            <w:tcW w:w="2551" w:type="dxa"/>
            <w:noWrap/>
            <w:hideMark/>
          </w:tcPr>
          <w:p w14:paraId="2B2B08C8" w14:textId="77777777" w:rsidR="00D65C3B" w:rsidRPr="00D65C3B" w:rsidRDefault="00D65C3B" w:rsidP="00D65C3B">
            <w:pPr>
              <w:spacing w:before="120" w:after="120" w:line="276" w:lineRule="auto"/>
              <w:contextualSpacing/>
              <w:jc w:val="center"/>
              <w:rPr>
                <w:rFonts w:ascii="Times New Roman" w:hAnsi="Times New Roman" w:cs="Times New Roman"/>
                <w:b/>
                <w:bCs/>
                <w:lang w:eastAsia="en-US"/>
              </w:rPr>
            </w:pPr>
            <w:r w:rsidRPr="00D65C3B">
              <w:rPr>
                <w:rFonts w:ascii="Times New Roman" w:hAnsi="Times New Roman" w:cs="Times New Roman"/>
                <w:b/>
                <w:bCs/>
                <w:lang w:eastAsia="en-US"/>
              </w:rPr>
              <w:t>Standard</w:t>
            </w:r>
          </w:p>
        </w:tc>
      </w:tr>
      <w:tr w:rsidR="00D65C3B" w:rsidRPr="00D65C3B" w14:paraId="4E587F22" w14:textId="77777777" w:rsidTr="004774AC">
        <w:trPr>
          <w:trHeight w:val="315"/>
        </w:trPr>
        <w:tc>
          <w:tcPr>
            <w:tcW w:w="1340" w:type="dxa"/>
            <w:noWrap/>
            <w:hideMark/>
          </w:tcPr>
          <w:p w14:paraId="7543BA8C"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2017</w:t>
            </w:r>
          </w:p>
        </w:tc>
        <w:tc>
          <w:tcPr>
            <w:tcW w:w="3191" w:type="dxa"/>
            <w:noWrap/>
            <w:hideMark/>
          </w:tcPr>
          <w:p w14:paraId="4258960E"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1.920.572,00</w:t>
            </w:r>
          </w:p>
        </w:tc>
        <w:tc>
          <w:tcPr>
            <w:tcW w:w="1985" w:type="dxa"/>
            <w:noWrap/>
            <w:hideMark/>
          </w:tcPr>
          <w:p w14:paraId="5B81610A"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1.096.475,00</w:t>
            </w:r>
          </w:p>
        </w:tc>
        <w:tc>
          <w:tcPr>
            <w:tcW w:w="2551" w:type="dxa"/>
            <w:noWrap/>
            <w:hideMark/>
          </w:tcPr>
          <w:p w14:paraId="0D74A131"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824.097,00</w:t>
            </w:r>
          </w:p>
        </w:tc>
      </w:tr>
      <w:tr w:rsidR="00D65C3B" w:rsidRPr="00D65C3B" w14:paraId="0FEC6027" w14:textId="77777777" w:rsidTr="004774AC">
        <w:trPr>
          <w:trHeight w:val="315"/>
        </w:trPr>
        <w:tc>
          <w:tcPr>
            <w:tcW w:w="1340" w:type="dxa"/>
            <w:noWrap/>
            <w:hideMark/>
          </w:tcPr>
          <w:p w14:paraId="34122D3E"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2018</w:t>
            </w:r>
          </w:p>
        </w:tc>
        <w:tc>
          <w:tcPr>
            <w:tcW w:w="3191" w:type="dxa"/>
            <w:noWrap/>
            <w:hideMark/>
          </w:tcPr>
          <w:p w14:paraId="385E80F6"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1.630.006,00</w:t>
            </w:r>
          </w:p>
        </w:tc>
        <w:tc>
          <w:tcPr>
            <w:tcW w:w="1985" w:type="dxa"/>
            <w:noWrap/>
            <w:hideMark/>
          </w:tcPr>
          <w:p w14:paraId="1C862440"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748.936,00</w:t>
            </w:r>
          </w:p>
        </w:tc>
        <w:tc>
          <w:tcPr>
            <w:tcW w:w="2551" w:type="dxa"/>
            <w:noWrap/>
            <w:hideMark/>
          </w:tcPr>
          <w:p w14:paraId="61297EA5"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881.070,00</w:t>
            </w:r>
          </w:p>
        </w:tc>
      </w:tr>
      <w:tr w:rsidR="00D65C3B" w:rsidRPr="00D65C3B" w14:paraId="618AFDFD" w14:textId="77777777" w:rsidTr="004774AC">
        <w:trPr>
          <w:trHeight w:val="315"/>
        </w:trPr>
        <w:tc>
          <w:tcPr>
            <w:tcW w:w="1340" w:type="dxa"/>
            <w:noWrap/>
            <w:hideMark/>
          </w:tcPr>
          <w:p w14:paraId="7A317455"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2019</w:t>
            </w:r>
          </w:p>
        </w:tc>
        <w:tc>
          <w:tcPr>
            <w:tcW w:w="3191" w:type="dxa"/>
            <w:noWrap/>
            <w:hideMark/>
          </w:tcPr>
          <w:p w14:paraId="5648DB9C"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1.304.219,00</w:t>
            </w:r>
          </w:p>
        </w:tc>
        <w:tc>
          <w:tcPr>
            <w:tcW w:w="1985" w:type="dxa"/>
            <w:noWrap/>
            <w:hideMark/>
          </w:tcPr>
          <w:p w14:paraId="441DDDE4"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639.600,00</w:t>
            </w:r>
          </w:p>
        </w:tc>
        <w:tc>
          <w:tcPr>
            <w:tcW w:w="2551" w:type="dxa"/>
            <w:noWrap/>
            <w:hideMark/>
          </w:tcPr>
          <w:p w14:paraId="48D65516"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664.619,00</w:t>
            </w:r>
          </w:p>
        </w:tc>
      </w:tr>
      <w:tr w:rsidR="00D65C3B" w:rsidRPr="00D65C3B" w14:paraId="1EBE9D0E" w14:textId="77777777" w:rsidTr="004774AC">
        <w:trPr>
          <w:trHeight w:val="315"/>
        </w:trPr>
        <w:tc>
          <w:tcPr>
            <w:tcW w:w="1340" w:type="dxa"/>
            <w:noWrap/>
            <w:hideMark/>
          </w:tcPr>
          <w:p w14:paraId="2C3EBA50"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2020</w:t>
            </w:r>
          </w:p>
        </w:tc>
        <w:tc>
          <w:tcPr>
            <w:tcW w:w="3191" w:type="dxa"/>
            <w:noWrap/>
            <w:hideMark/>
          </w:tcPr>
          <w:p w14:paraId="7D7E5C03"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1.535.090,00</w:t>
            </w:r>
          </w:p>
        </w:tc>
        <w:tc>
          <w:tcPr>
            <w:tcW w:w="1985" w:type="dxa"/>
            <w:noWrap/>
            <w:hideMark/>
          </w:tcPr>
          <w:p w14:paraId="739CCDD5"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796.161,00</w:t>
            </w:r>
          </w:p>
        </w:tc>
        <w:tc>
          <w:tcPr>
            <w:tcW w:w="2551" w:type="dxa"/>
            <w:noWrap/>
            <w:hideMark/>
          </w:tcPr>
          <w:p w14:paraId="61915033"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738.929,00</w:t>
            </w:r>
          </w:p>
        </w:tc>
      </w:tr>
      <w:tr w:rsidR="00D65C3B" w:rsidRPr="00D65C3B" w14:paraId="548203B1" w14:textId="77777777" w:rsidTr="004774AC">
        <w:trPr>
          <w:trHeight w:val="315"/>
        </w:trPr>
        <w:tc>
          <w:tcPr>
            <w:tcW w:w="1340" w:type="dxa"/>
            <w:noWrap/>
            <w:hideMark/>
          </w:tcPr>
          <w:p w14:paraId="119BE47A"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2021</w:t>
            </w:r>
          </w:p>
        </w:tc>
        <w:tc>
          <w:tcPr>
            <w:tcW w:w="3191" w:type="dxa"/>
            <w:noWrap/>
            <w:hideMark/>
          </w:tcPr>
          <w:p w14:paraId="2498CD40"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1.509.612,00</w:t>
            </w:r>
          </w:p>
        </w:tc>
        <w:tc>
          <w:tcPr>
            <w:tcW w:w="1985" w:type="dxa"/>
            <w:noWrap/>
            <w:hideMark/>
          </w:tcPr>
          <w:p w14:paraId="1506DB2E"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626.505,00</w:t>
            </w:r>
          </w:p>
        </w:tc>
        <w:tc>
          <w:tcPr>
            <w:tcW w:w="2551" w:type="dxa"/>
            <w:noWrap/>
            <w:hideMark/>
          </w:tcPr>
          <w:p w14:paraId="43133FC3"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883.107,00</w:t>
            </w:r>
          </w:p>
        </w:tc>
      </w:tr>
      <w:tr w:rsidR="00D65C3B" w:rsidRPr="00D65C3B" w14:paraId="170F0E99" w14:textId="77777777" w:rsidTr="004774AC">
        <w:trPr>
          <w:trHeight w:val="315"/>
        </w:trPr>
        <w:tc>
          <w:tcPr>
            <w:tcW w:w="1340" w:type="dxa"/>
            <w:noWrap/>
            <w:hideMark/>
          </w:tcPr>
          <w:p w14:paraId="1AD46DB4" w14:textId="77777777" w:rsidR="00D65C3B" w:rsidRPr="00D65C3B" w:rsidRDefault="00D65C3B" w:rsidP="00D65C3B">
            <w:pPr>
              <w:spacing w:before="120" w:after="120" w:line="276" w:lineRule="auto"/>
              <w:contextualSpacing/>
              <w:rPr>
                <w:rFonts w:ascii="Times New Roman" w:hAnsi="Times New Roman" w:cs="Times New Roman"/>
                <w:lang w:eastAsia="en-US"/>
              </w:rPr>
            </w:pPr>
            <w:r w:rsidRPr="00D65C3B">
              <w:rPr>
                <w:rFonts w:ascii="Times New Roman" w:hAnsi="Times New Roman" w:cs="Times New Roman"/>
                <w:lang w:eastAsia="en-US"/>
              </w:rPr>
              <w:t>2022</w:t>
            </w:r>
          </w:p>
        </w:tc>
        <w:tc>
          <w:tcPr>
            <w:tcW w:w="3191" w:type="dxa"/>
            <w:noWrap/>
            <w:hideMark/>
          </w:tcPr>
          <w:p w14:paraId="6281420B"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1.039.340,00</w:t>
            </w:r>
          </w:p>
        </w:tc>
        <w:tc>
          <w:tcPr>
            <w:tcW w:w="1985" w:type="dxa"/>
            <w:noWrap/>
            <w:hideMark/>
          </w:tcPr>
          <w:p w14:paraId="13CF8DEB"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409.476,00</w:t>
            </w:r>
          </w:p>
        </w:tc>
        <w:tc>
          <w:tcPr>
            <w:tcW w:w="2551" w:type="dxa"/>
            <w:noWrap/>
            <w:hideMark/>
          </w:tcPr>
          <w:p w14:paraId="1C8435C2" w14:textId="77777777" w:rsidR="00D65C3B" w:rsidRPr="00D65C3B" w:rsidRDefault="00D65C3B" w:rsidP="00D65C3B">
            <w:pPr>
              <w:spacing w:before="120" w:after="120" w:line="276" w:lineRule="auto"/>
              <w:contextualSpacing/>
              <w:jc w:val="right"/>
              <w:rPr>
                <w:rFonts w:ascii="Times New Roman" w:hAnsi="Times New Roman" w:cs="Times New Roman"/>
                <w:lang w:eastAsia="en-US"/>
              </w:rPr>
            </w:pPr>
            <w:r w:rsidRPr="00D65C3B">
              <w:rPr>
                <w:rFonts w:ascii="Times New Roman" w:hAnsi="Times New Roman" w:cs="Times New Roman"/>
                <w:lang w:eastAsia="en-US"/>
              </w:rPr>
              <w:t>629.864,00</w:t>
            </w:r>
          </w:p>
        </w:tc>
      </w:tr>
      <w:tr w:rsidR="00D65C3B" w:rsidRPr="00D65C3B" w14:paraId="45FCFD19" w14:textId="77777777" w:rsidTr="004774AC">
        <w:trPr>
          <w:trHeight w:val="315"/>
        </w:trPr>
        <w:tc>
          <w:tcPr>
            <w:tcW w:w="1340" w:type="dxa"/>
            <w:noWrap/>
            <w:hideMark/>
          </w:tcPr>
          <w:p w14:paraId="37AFC31F" w14:textId="77777777" w:rsidR="00D65C3B" w:rsidRPr="00D65C3B" w:rsidRDefault="00D65C3B" w:rsidP="00D65C3B">
            <w:pPr>
              <w:spacing w:before="120" w:after="120" w:line="276" w:lineRule="auto"/>
              <w:contextualSpacing/>
              <w:rPr>
                <w:rFonts w:ascii="Times New Roman" w:hAnsi="Times New Roman" w:cs="Times New Roman"/>
                <w:b/>
                <w:bCs/>
                <w:lang w:eastAsia="en-US"/>
              </w:rPr>
            </w:pPr>
            <w:r w:rsidRPr="00D65C3B">
              <w:rPr>
                <w:rFonts w:ascii="Times New Roman" w:hAnsi="Times New Roman" w:cs="Times New Roman"/>
                <w:b/>
                <w:bCs/>
                <w:lang w:eastAsia="en-US"/>
              </w:rPr>
              <w:t>Prosjek</w:t>
            </w:r>
          </w:p>
        </w:tc>
        <w:tc>
          <w:tcPr>
            <w:tcW w:w="3191" w:type="dxa"/>
            <w:noWrap/>
            <w:hideMark/>
          </w:tcPr>
          <w:p w14:paraId="6CDD574C" w14:textId="77777777" w:rsidR="00D65C3B" w:rsidRPr="00D65C3B" w:rsidRDefault="00D65C3B" w:rsidP="00D65C3B">
            <w:pPr>
              <w:spacing w:before="120" w:after="120" w:line="276" w:lineRule="auto"/>
              <w:contextualSpacing/>
              <w:jc w:val="right"/>
              <w:rPr>
                <w:rFonts w:ascii="Times New Roman" w:hAnsi="Times New Roman" w:cs="Times New Roman"/>
                <w:b/>
                <w:bCs/>
                <w:lang w:eastAsia="en-US"/>
              </w:rPr>
            </w:pPr>
            <w:r w:rsidRPr="00D65C3B">
              <w:rPr>
                <w:rFonts w:ascii="Times New Roman" w:hAnsi="Times New Roman" w:cs="Times New Roman"/>
                <w:b/>
                <w:bCs/>
                <w:lang w:eastAsia="en-US"/>
              </w:rPr>
              <w:t>1.489.806,50</w:t>
            </w:r>
          </w:p>
        </w:tc>
        <w:tc>
          <w:tcPr>
            <w:tcW w:w="1985" w:type="dxa"/>
            <w:noWrap/>
            <w:hideMark/>
          </w:tcPr>
          <w:p w14:paraId="026AF30D" w14:textId="77777777" w:rsidR="00D65C3B" w:rsidRPr="00D65C3B" w:rsidRDefault="00D65C3B" w:rsidP="00D65C3B">
            <w:pPr>
              <w:spacing w:before="120" w:after="120" w:line="276" w:lineRule="auto"/>
              <w:contextualSpacing/>
              <w:jc w:val="right"/>
              <w:rPr>
                <w:rFonts w:ascii="Times New Roman" w:hAnsi="Times New Roman" w:cs="Times New Roman"/>
                <w:b/>
                <w:bCs/>
                <w:lang w:eastAsia="en-US"/>
              </w:rPr>
            </w:pPr>
            <w:r w:rsidRPr="00D65C3B">
              <w:rPr>
                <w:rFonts w:ascii="Times New Roman" w:hAnsi="Times New Roman" w:cs="Times New Roman"/>
                <w:b/>
                <w:bCs/>
                <w:lang w:eastAsia="en-US"/>
              </w:rPr>
              <w:t>719.525,50</w:t>
            </w:r>
          </w:p>
        </w:tc>
        <w:tc>
          <w:tcPr>
            <w:tcW w:w="2551" w:type="dxa"/>
            <w:noWrap/>
            <w:hideMark/>
          </w:tcPr>
          <w:p w14:paraId="5BFAF7B0" w14:textId="77777777" w:rsidR="00D65C3B" w:rsidRPr="00D65C3B" w:rsidRDefault="00D65C3B" w:rsidP="00D65C3B">
            <w:pPr>
              <w:spacing w:before="120" w:after="120" w:line="276" w:lineRule="auto"/>
              <w:contextualSpacing/>
              <w:jc w:val="right"/>
              <w:rPr>
                <w:rFonts w:ascii="Times New Roman" w:hAnsi="Times New Roman" w:cs="Times New Roman"/>
                <w:b/>
                <w:bCs/>
                <w:lang w:eastAsia="en-US"/>
              </w:rPr>
            </w:pPr>
            <w:r w:rsidRPr="00D65C3B">
              <w:rPr>
                <w:rFonts w:ascii="Times New Roman" w:hAnsi="Times New Roman" w:cs="Times New Roman"/>
                <w:b/>
                <w:bCs/>
                <w:lang w:eastAsia="en-US"/>
              </w:rPr>
              <w:t>770.281,00</w:t>
            </w:r>
          </w:p>
        </w:tc>
      </w:tr>
    </w:tbl>
    <w:p w14:paraId="1586709E" w14:textId="77777777" w:rsidR="00D65C3B" w:rsidRPr="00D65C3B" w:rsidRDefault="00D65C3B" w:rsidP="00D65C3B">
      <w:pPr>
        <w:spacing w:before="120" w:after="120" w:line="276" w:lineRule="auto"/>
        <w:contextualSpacing/>
        <w:jc w:val="both"/>
        <w:rPr>
          <w:rFonts w:ascii="Times New Roman" w:hAnsi="Times New Roman" w:cs="Times New Roman"/>
          <w:b/>
          <w:sz w:val="20"/>
          <w:szCs w:val="20"/>
          <w:lang w:eastAsia="en-US"/>
        </w:rPr>
      </w:pPr>
      <w:r w:rsidRPr="00D65C3B">
        <w:rPr>
          <w:rFonts w:ascii="Times New Roman" w:hAnsi="Times New Roman" w:cs="Times New Roman"/>
          <w:b/>
          <w:sz w:val="20"/>
          <w:szCs w:val="20"/>
          <w:lang w:eastAsia="en-US"/>
        </w:rPr>
        <w:t>Tablica 3. Godišnja proizvodnja loznih cijepova (izvor: HAPIH – CSR)</w:t>
      </w:r>
    </w:p>
    <w:p w14:paraId="619B0A47"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13E63E6E" w14:textId="603186AD"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U Tablici 4. prikazane su i procijenjene potrebe za loznim cijepovima pojedinih sorata za vinograde podignute u istom razdoblju. Kod većine sorata vidljivo je da je proizvodnja cijepova u RH dostatna na temelju podataka o novim nasadima koji su registrirani u Registru. Međutim s obzirom da kod brojnih sorata postoji znatno veća proizvodnja sadnog materijala u odnosu na nove površine koje su registrirane u Registru, za zaključiti je kako postoji određeni dio vinogradarskih površina koje se podižu ili obnavljaju bez da je to evidentirano u Registru, kao i dio cijepova koji se koristi za podsadnju postojećih vinograda. </w:t>
      </w:r>
    </w:p>
    <w:p w14:paraId="02F5C660"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Zbog svega navedenog, samo na temelju Registra teško je procijeniti stvarne godišnje potrebe za sadnim materijalom. Među sortama čija je domaća proizvodnja sadnog materijala daleko ispod potrebne godišnje količine cijepova za novu sadnju je i Malvazija istarska kod koje otprilike nedostaje 170.000,00 loznih cijepova. </w:t>
      </w:r>
    </w:p>
    <w:p w14:paraId="29C7FE22" w14:textId="77777777" w:rsidR="00D65C3B" w:rsidRPr="00D65C3B" w:rsidRDefault="00D65C3B" w:rsidP="00D65C3B">
      <w:pPr>
        <w:spacing w:before="120" w:after="120" w:line="276" w:lineRule="auto"/>
        <w:contextualSpacing/>
        <w:jc w:val="both"/>
        <w:rPr>
          <w:rFonts w:ascii="Times New Roman" w:hAnsi="Times New Roman" w:cs="Times New Roman"/>
          <w:color w:val="auto"/>
          <w:lang w:eastAsia="en-US"/>
        </w:rPr>
      </w:pPr>
    </w:p>
    <w:p w14:paraId="07EF0189" w14:textId="77777777" w:rsidR="00393C45" w:rsidRDefault="00393C45" w:rsidP="00D65C3B">
      <w:pPr>
        <w:spacing w:before="120" w:after="120" w:line="276" w:lineRule="auto"/>
        <w:contextualSpacing/>
        <w:jc w:val="both"/>
        <w:rPr>
          <w:rFonts w:ascii="Times New Roman" w:hAnsi="Times New Roman" w:cs="Times New Roman"/>
          <w:color w:val="auto"/>
          <w:lang w:eastAsia="en-US"/>
        </w:rPr>
      </w:pPr>
    </w:p>
    <w:p w14:paraId="53D668F8" w14:textId="77777777" w:rsidR="00393C45" w:rsidRPr="00D65C3B" w:rsidRDefault="00393C45" w:rsidP="00D65C3B">
      <w:pPr>
        <w:spacing w:before="120" w:after="120" w:line="276" w:lineRule="auto"/>
        <w:contextualSpacing/>
        <w:jc w:val="both"/>
        <w:rPr>
          <w:rFonts w:ascii="Times New Roman" w:hAnsi="Times New Roman" w:cs="Times New Roman"/>
          <w:color w:val="auto"/>
          <w:lang w:eastAsia="en-US"/>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
        <w:gridCol w:w="1828"/>
        <w:gridCol w:w="2268"/>
        <w:gridCol w:w="1701"/>
        <w:gridCol w:w="2835"/>
      </w:tblGrid>
      <w:tr w:rsidR="00D65C3B" w:rsidRPr="00D65C3B" w14:paraId="4D1ADEC6" w14:textId="77777777" w:rsidTr="004774AC">
        <w:trPr>
          <w:trHeight w:val="640"/>
        </w:trPr>
        <w:tc>
          <w:tcPr>
            <w:tcW w:w="440" w:type="dxa"/>
            <w:shd w:val="clear" w:color="auto" w:fill="auto"/>
            <w:vAlign w:val="bottom"/>
            <w:hideMark/>
          </w:tcPr>
          <w:p w14:paraId="786D2D1A"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 </w:t>
            </w:r>
          </w:p>
        </w:tc>
        <w:tc>
          <w:tcPr>
            <w:tcW w:w="1828" w:type="dxa"/>
            <w:shd w:val="clear" w:color="auto" w:fill="auto"/>
            <w:vAlign w:val="bottom"/>
            <w:hideMark/>
          </w:tcPr>
          <w:p w14:paraId="0F682B9E" w14:textId="77777777" w:rsidR="00D65C3B" w:rsidRPr="00D65C3B" w:rsidRDefault="00D65C3B" w:rsidP="00D65C3B">
            <w:pPr>
              <w:jc w:val="center"/>
              <w:rPr>
                <w:rFonts w:ascii="Times New Roman" w:hAnsi="Times New Roman" w:cs="Times New Roman"/>
                <w:sz w:val="22"/>
                <w:szCs w:val="22"/>
                <w:lang w:eastAsia="en-US"/>
              </w:rPr>
            </w:pPr>
            <w:r w:rsidRPr="00D65C3B">
              <w:rPr>
                <w:rFonts w:ascii="Times New Roman" w:hAnsi="Times New Roman" w:cs="Times New Roman"/>
                <w:sz w:val="22"/>
                <w:szCs w:val="22"/>
                <w:lang w:eastAsia="en-US"/>
              </w:rPr>
              <w:t>Sorta</w:t>
            </w:r>
          </w:p>
        </w:tc>
        <w:tc>
          <w:tcPr>
            <w:tcW w:w="2268" w:type="dxa"/>
            <w:shd w:val="clear" w:color="auto" w:fill="auto"/>
            <w:vAlign w:val="bottom"/>
            <w:hideMark/>
          </w:tcPr>
          <w:p w14:paraId="2A5E18E7" w14:textId="77777777" w:rsidR="00D65C3B" w:rsidRPr="00D65C3B" w:rsidRDefault="00D65C3B" w:rsidP="00D65C3B">
            <w:pPr>
              <w:jc w:val="center"/>
              <w:rPr>
                <w:rFonts w:ascii="Times New Roman" w:hAnsi="Times New Roman" w:cs="Times New Roman"/>
                <w:sz w:val="22"/>
                <w:szCs w:val="22"/>
                <w:lang w:eastAsia="en-US"/>
              </w:rPr>
            </w:pPr>
            <w:r w:rsidRPr="00D65C3B">
              <w:rPr>
                <w:rFonts w:ascii="Times New Roman" w:hAnsi="Times New Roman" w:cs="Times New Roman"/>
                <w:sz w:val="22"/>
                <w:szCs w:val="22"/>
                <w:lang w:eastAsia="en-US"/>
              </w:rPr>
              <w:t>Prosječna godišnja sadnja (ha)</w:t>
            </w:r>
          </w:p>
        </w:tc>
        <w:tc>
          <w:tcPr>
            <w:tcW w:w="1701" w:type="dxa"/>
            <w:shd w:val="clear" w:color="auto" w:fill="auto"/>
            <w:vAlign w:val="bottom"/>
            <w:hideMark/>
          </w:tcPr>
          <w:p w14:paraId="76EE1AD9" w14:textId="77777777" w:rsidR="00D65C3B" w:rsidRPr="00D65C3B" w:rsidRDefault="00D65C3B" w:rsidP="00D65C3B">
            <w:pPr>
              <w:jc w:val="center"/>
              <w:rPr>
                <w:rFonts w:ascii="Times New Roman" w:hAnsi="Times New Roman" w:cs="Times New Roman"/>
                <w:sz w:val="22"/>
                <w:szCs w:val="22"/>
                <w:lang w:eastAsia="en-US"/>
              </w:rPr>
            </w:pPr>
            <w:r w:rsidRPr="00D65C3B">
              <w:rPr>
                <w:rFonts w:ascii="Times New Roman" w:hAnsi="Times New Roman" w:cs="Times New Roman"/>
                <w:sz w:val="22"/>
                <w:szCs w:val="22"/>
                <w:lang w:eastAsia="en-US"/>
              </w:rPr>
              <w:t>Udio</w:t>
            </w:r>
          </w:p>
        </w:tc>
        <w:tc>
          <w:tcPr>
            <w:tcW w:w="2835" w:type="dxa"/>
            <w:shd w:val="clear" w:color="auto" w:fill="auto"/>
            <w:vAlign w:val="bottom"/>
            <w:hideMark/>
          </w:tcPr>
          <w:p w14:paraId="2788FB3B" w14:textId="77777777" w:rsidR="00D65C3B" w:rsidRPr="00D65C3B" w:rsidRDefault="00D65C3B" w:rsidP="00D65C3B">
            <w:pPr>
              <w:jc w:val="center"/>
              <w:rPr>
                <w:rFonts w:ascii="Times New Roman" w:hAnsi="Times New Roman" w:cs="Times New Roman"/>
                <w:color w:val="auto"/>
                <w:sz w:val="22"/>
                <w:szCs w:val="22"/>
                <w:lang w:eastAsia="en-US"/>
              </w:rPr>
            </w:pPr>
            <w:r w:rsidRPr="00D65C3B">
              <w:rPr>
                <w:rFonts w:ascii="Times New Roman" w:hAnsi="Times New Roman" w:cs="Times New Roman"/>
                <w:sz w:val="22"/>
                <w:szCs w:val="22"/>
                <w:lang w:eastAsia="en-US"/>
              </w:rPr>
              <w:t xml:space="preserve">Procjena potrebne količine sadnog materijala </w:t>
            </w:r>
            <w:r w:rsidRPr="00D65C3B">
              <w:rPr>
                <w:rFonts w:ascii="Times New Roman" w:hAnsi="Times New Roman" w:cs="Times New Roman"/>
                <w:b/>
                <w:bCs/>
                <w:sz w:val="22"/>
                <w:szCs w:val="22"/>
                <w:lang w:eastAsia="en-US"/>
              </w:rPr>
              <w:t>(</w:t>
            </w:r>
            <w:r w:rsidRPr="00D65C3B">
              <w:rPr>
                <w:rFonts w:ascii="Times New Roman" w:hAnsi="Times New Roman" w:cs="Times New Roman"/>
                <w:b/>
                <w:bCs/>
                <w:color w:val="auto"/>
                <w:sz w:val="22"/>
                <w:szCs w:val="22"/>
                <w:lang w:eastAsia="en-US"/>
              </w:rPr>
              <w:t>veća od proizvedene količine)</w:t>
            </w:r>
          </w:p>
        </w:tc>
      </w:tr>
      <w:tr w:rsidR="00D65C3B" w:rsidRPr="00D65C3B" w14:paraId="386ACBFE" w14:textId="77777777" w:rsidTr="004774AC">
        <w:trPr>
          <w:trHeight w:val="288"/>
        </w:trPr>
        <w:tc>
          <w:tcPr>
            <w:tcW w:w="440" w:type="dxa"/>
            <w:shd w:val="clear" w:color="auto" w:fill="auto"/>
            <w:noWrap/>
            <w:vAlign w:val="bottom"/>
            <w:hideMark/>
          </w:tcPr>
          <w:p w14:paraId="1AE131B1"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w:t>
            </w:r>
          </w:p>
        </w:tc>
        <w:tc>
          <w:tcPr>
            <w:tcW w:w="1828" w:type="dxa"/>
            <w:shd w:val="clear" w:color="auto" w:fill="auto"/>
            <w:noWrap/>
            <w:vAlign w:val="bottom"/>
            <w:hideMark/>
          </w:tcPr>
          <w:p w14:paraId="4C3C0C05"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Graševina</w:t>
            </w:r>
          </w:p>
        </w:tc>
        <w:tc>
          <w:tcPr>
            <w:tcW w:w="2268" w:type="dxa"/>
            <w:shd w:val="clear" w:color="auto" w:fill="auto"/>
            <w:noWrap/>
            <w:vAlign w:val="bottom"/>
            <w:hideMark/>
          </w:tcPr>
          <w:p w14:paraId="36A608EA"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63.1</w:t>
            </w:r>
          </w:p>
        </w:tc>
        <w:tc>
          <w:tcPr>
            <w:tcW w:w="1701" w:type="dxa"/>
            <w:shd w:val="clear" w:color="auto" w:fill="auto"/>
            <w:noWrap/>
            <w:vAlign w:val="bottom"/>
            <w:hideMark/>
          </w:tcPr>
          <w:p w14:paraId="1AB0BE78"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31.0%</w:t>
            </w:r>
          </w:p>
        </w:tc>
        <w:tc>
          <w:tcPr>
            <w:tcW w:w="2835" w:type="dxa"/>
            <w:shd w:val="clear" w:color="auto" w:fill="auto"/>
            <w:noWrap/>
            <w:vAlign w:val="bottom"/>
            <w:hideMark/>
          </w:tcPr>
          <w:p w14:paraId="0987C3AF"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315,693</w:t>
            </w:r>
          </w:p>
        </w:tc>
      </w:tr>
      <w:tr w:rsidR="00D65C3B" w:rsidRPr="00D65C3B" w14:paraId="1E2F9E18" w14:textId="77777777" w:rsidTr="004774AC">
        <w:trPr>
          <w:trHeight w:val="288"/>
        </w:trPr>
        <w:tc>
          <w:tcPr>
            <w:tcW w:w="440" w:type="dxa"/>
            <w:shd w:val="clear" w:color="auto" w:fill="auto"/>
            <w:noWrap/>
            <w:vAlign w:val="bottom"/>
            <w:hideMark/>
          </w:tcPr>
          <w:p w14:paraId="7420AAAF"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2</w:t>
            </w:r>
          </w:p>
        </w:tc>
        <w:tc>
          <w:tcPr>
            <w:tcW w:w="1828" w:type="dxa"/>
            <w:shd w:val="clear" w:color="auto" w:fill="auto"/>
            <w:noWrap/>
            <w:vAlign w:val="bottom"/>
            <w:hideMark/>
          </w:tcPr>
          <w:p w14:paraId="2440EC7E"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Malvazija istarska</w:t>
            </w:r>
          </w:p>
        </w:tc>
        <w:tc>
          <w:tcPr>
            <w:tcW w:w="2268" w:type="dxa"/>
            <w:shd w:val="clear" w:color="auto" w:fill="auto"/>
            <w:noWrap/>
            <w:vAlign w:val="bottom"/>
            <w:hideMark/>
          </w:tcPr>
          <w:p w14:paraId="69BD6D6C"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33.7</w:t>
            </w:r>
          </w:p>
        </w:tc>
        <w:tc>
          <w:tcPr>
            <w:tcW w:w="1701" w:type="dxa"/>
            <w:shd w:val="clear" w:color="auto" w:fill="auto"/>
            <w:noWrap/>
            <w:vAlign w:val="bottom"/>
            <w:hideMark/>
          </w:tcPr>
          <w:p w14:paraId="231BA54C"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16.6%</w:t>
            </w:r>
          </w:p>
        </w:tc>
        <w:tc>
          <w:tcPr>
            <w:tcW w:w="2835" w:type="dxa"/>
            <w:shd w:val="clear" w:color="auto" w:fill="auto"/>
            <w:noWrap/>
            <w:vAlign w:val="bottom"/>
            <w:hideMark/>
          </w:tcPr>
          <w:p w14:paraId="76A11F03" w14:textId="77777777" w:rsidR="00D65C3B" w:rsidRPr="00D65C3B" w:rsidRDefault="00D65C3B" w:rsidP="00D65C3B">
            <w:pPr>
              <w:jc w:val="right"/>
              <w:rPr>
                <w:rFonts w:ascii="Times New Roman" w:hAnsi="Times New Roman" w:cs="Times New Roman"/>
                <w:b/>
                <w:bCs/>
                <w:color w:val="auto"/>
                <w:sz w:val="22"/>
                <w:szCs w:val="22"/>
                <w:lang w:eastAsia="en-US"/>
              </w:rPr>
            </w:pPr>
            <w:r w:rsidRPr="00D65C3B">
              <w:rPr>
                <w:rFonts w:ascii="Times New Roman" w:hAnsi="Times New Roman" w:cs="Times New Roman"/>
                <w:b/>
                <w:bCs/>
                <w:color w:val="auto"/>
                <w:sz w:val="22"/>
                <w:szCs w:val="22"/>
                <w:lang w:eastAsia="en-US"/>
              </w:rPr>
              <w:t>168,700</w:t>
            </w:r>
          </w:p>
        </w:tc>
      </w:tr>
      <w:tr w:rsidR="00D65C3B" w:rsidRPr="00D65C3B" w14:paraId="106153AF" w14:textId="77777777" w:rsidTr="004774AC">
        <w:trPr>
          <w:trHeight w:val="288"/>
        </w:trPr>
        <w:tc>
          <w:tcPr>
            <w:tcW w:w="440" w:type="dxa"/>
            <w:shd w:val="clear" w:color="auto" w:fill="auto"/>
            <w:noWrap/>
            <w:vAlign w:val="bottom"/>
            <w:hideMark/>
          </w:tcPr>
          <w:p w14:paraId="23D0B6B1"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3</w:t>
            </w:r>
          </w:p>
        </w:tc>
        <w:tc>
          <w:tcPr>
            <w:tcW w:w="1828" w:type="dxa"/>
            <w:shd w:val="clear" w:color="auto" w:fill="auto"/>
            <w:noWrap/>
            <w:vAlign w:val="bottom"/>
            <w:hideMark/>
          </w:tcPr>
          <w:p w14:paraId="18FD7214"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Merlot</w:t>
            </w:r>
          </w:p>
        </w:tc>
        <w:tc>
          <w:tcPr>
            <w:tcW w:w="2268" w:type="dxa"/>
            <w:shd w:val="clear" w:color="auto" w:fill="auto"/>
            <w:noWrap/>
            <w:vAlign w:val="bottom"/>
            <w:hideMark/>
          </w:tcPr>
          <w:p w14:paraId="4E0E3192"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9.2</w:t>
            </w:r>
          </w:p>
        </w:tc>
        <w:tc>
          <w:tcPr>
            <w:tcW w:w="1701" w:type="dxa"/>
            <w:shd w:val="clear" w:color="auto" w:fill="auto"/>
            <w:noWrap/>
            <w:vAlign w:val="bottom"/>
            <w:hideMark/>
          </w:tcPr>
          <w:p w14:paraId="119092BF"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4.5%</w:t>
            </w:r>
          </w:p>
        </w:tc>
        <w:tc>
          <w:tcPr>
            <w:tcW w:w="2835" w:type="dxa"/>
            <w:shd w:val="clear" w:color="auto" w:fill="auto"/>
            <w:noWrap/>
            <w:vAlign w:val="bottom"/>
            <w:hideMark/>
          </w:tcPr>
          <w:p w14:paraId="725A61A8"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45,779</w:t>
            </w:r>
          </w:p>
        </w:tc>
      </w:tr>
      <w:tr w:rsidR="00D65C3B" w:rsidRPr="00D65C3B" w14:paraId="2E4F08B3" w14:textId="77777777" w:rsidTr="004774AC">
        <w:trPr>
          <w:trHeight w:val="288"/>
        </w:trPr>
        <w:tc>
          <w:tcPr>
            <w:tcW w:w="440" w:type="dxa"/>
            <w:shd w:val="clear" w:color="auto" w:fill="auto"/>
            <w:noWrap/>
            <w:vAlign w:val="bottom"/>
            <w:hideMark/>
          </w:tcPr>
          <w:p w14:paraId="00D4188D"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4</w:t>
            </w:r>
          </w:p>
        </w:tc>
        <w:tc>
          <w:tcPr>
            <w:tcW w:w="1828" w:type="dxa"/>
            <w:shd w:val="clear" w:color="auto" w:fill="auto"/>
            <w:noWrap/>
            <w:vAlign w:val="bottom"/>
            <w:hideMark/>
          </w:tcPr>
          <w:p w14:paraId="63BE80A2"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Sauvignon</w:t>
            </w:r>
          </w:p>
        </w:tc>
        <w:tc>
          <w:tcPr>
            <w:tcW w:w="2268" w:type="dxa"/>
            <w:shd w:val="clear" w:color="auto" w:fill="auto"/>
            <w:noWrap/>
            <w:vAlign w:val="bottom"/>
            <w:hideMark/>
          </w:tcPr>
          <w:p w14:paraId="1E59B586"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8.8</w:t>
            </w:r>
          </w:p>
        </w:tc>
        <w:tc>
          <w:tcPr>
            <w:tcW w:w="1701" w:type="dxa"/>
            <w:shd w:val="clear" w:color="auto" w:fill="auto"/>
            <w:noWrap/>
            <w:vAlign w:val="bottom"/>
            <w:hideMark/>
          </w:tcPr>
          <w:p w14:paraId="72959F7B"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4.3%</w:t>
            </w:r>
          </w:p>
        </w:tc>
        <w:tc>
          <w:tcPr>
            <w:tcW w:w="2835" w:type="dxa"/>
            <w:shd w:val="clear" w:color="auto" w:fill="auto"/>
            <w:noWrap/>
            <w:vAlign w:val="bottom"/>
            <w:hideMark/>
          </w:tcPr>
          <w:p w14:paraId="71142EA9"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43,857</w:t>
            </w:r>
          </w:p>
        </w:tc>
      </w:tr>
      <w:tr w:rsidR="00D65C3B" w:rsidRPr="00D65C3B" w14:paraId="5541893D" w14:textId="77777777" w:rsidTr="004774AC">
        <w:trPr>
          <w:trHeight w:val="288"/>
        </w:trPr>
        <w:tc>
          <w:tcPr>
            <w:tcW w:w="440" w:type="dxa"/>
            <w:shd w:val="clear" w:color="auto" w:fill="auto"/>
            <w:noWrap/>
            <w:vAlign w:val="bottom"/>
            <w:hideMark/>
          </w:tcPr>
          <w:p w14:paraId="290D85E2"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5</w:t>
            </w:r>
          </w:p>
        </w:tc>
        <w:tc>
          <w:tcPr>
            <w:tcW w:w="1828" w:type="dxa"/>
            <w:shd w:val="clear" w:color="auto" w:fill="auto"/>
            <w:noWrap/>
            <w:vAlign w:val="bottom"/>
            <w:hideMark/>
          </w:tcPr>
          <w:p w14:paraId="06D5F430"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Chardonnay</w:t>
            </w:r>
          </w:p>
        </w:tc>
        <w:tc>
          <w:tcPr>
            <w:tcW w:w="2268" w:type="dxa"/>
            <w:shd w:val="clear" w:color="auto" w:fill="auto"/>
            <w:noWrap/>
            <w:vAlign w:val="bottom"/>
            <w:hideMark/>
          </w:tcPr>
          <w:p w14:paraId="59059B0B"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7.5</w:t>
            </w:r>
          </w:p>
        </w:tc>
        <w:tc>
          <w:tcPr>
            <w:tcW w:w="1701" w:type="dxa"/>
            <w:shd w:val="clear" w:color="auto" w:fill="auto"/>
            <w:noWrap/>
            <w:vAlign w:val="bottom"/>
            <w:hideMark/>
          </w:tcPr>
          <w:p w14:paraId="4719EB62"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3.7%</w:t>
            </w:r>
          </w:p>
        </w:tc>
        <w:tc>
          <w:tcPr>
            <w:tcW w:w="2835" w:type="dxa"/>
            <w:shd w:val="clear" w:color="auto" w:fill="auto"/>
            <w:noWrap/>
            <w:vAlign w:val="bottom"/>
            <w:hideMark/>
          </w:tcPr>
          <w:p w14:paraId="4867E824"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37,543</w:t>
            </w:r>
          </w:p>
        </w:tc>
      </w:tr>
      <w:tr w:rsidR="00D65C3B" w:rsidRPr="00D65C3B" w14:paraId="007269FD" w14:textId="77777777" w:rsidTr="004774AC">
        <w:trPr>
          <w:trHeight w:val="288"/>
        </w:trPr>
        <w:tc>
          <w:tcPr>
            <w:tcW w:w="440" w:type="dxa"/>
            <w:shd w:val="clear" w:color="auto" w:fill="auto"/>
            <w:noWrap/>
            <w:vAlign w:val="bottom"/>
            <w:hideMark/>
          </w:tcPr>
          <w:p w14:paraId="4E3AD309"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6</w:t>
            </w:r>
          </w:p>
        </w:tc>
        <w:tc>
          <w:tcPr>
            <w:tcW w:w="1828" w:type="dxa"/>
            <w:shd w:val="clear" w:color="auto" w:fill="auto"/>
            <w:noWrap/>
            <w:vAlign w:val="bottom"/>
            <w:hideMark/>
          </w:tcPr>
          <w:p w14:paraId="41BECCFF"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Pošip bijeli</w:t>
            </w:r>
          </w:p>
        </w:tc>
        <w:tc>
          <w:tcPr>
            <w:tcW w:w="2268" w:type="dxa"/>
            <w:shd w:val="clear" w:color="auto" w:fill="auto"/>
            <w:noWrap/>
            <w:vAlign w:val="bottom"/>
            <w:hideMark/>
          </w:tcPr>
          <w:p w14:paraId="4FCB2C7A"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7.2</w:t>
            </w:r>
          </w:p>
        </w:tc>
        <w:tc>
          <w:tcPr>
            <w:tcW w:w="1701" w:type="dxa"/>
            <w:shd w:val="clear" w:color="auto" w:fill="auto"/>
            <w:noWrap/>
            <w:vAlign w:val="bottom"/>
            <w:hideMark/>
          </w:tcPr>
          <w:p w14:paraId="407615FE"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3.5%</w:t>
            </w:r>
          </w:p>
        </w:tc>
        <w:tc>
          <w:tcPr>
            <w:tcW w:w="2835" w:type="dxa"/>
            <w:shd w:val="clear" w:color="auto" w:fill="auto"/>
            <w:noWrap/>
            <w:vAlign w:val="bottom"/>
            <w:hideMark/>
          </w:tcPr>
          <w:p w14:paraId="0D368AAB"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35,771</w:t>
            </w:r>
          </w:p>
        </w:tc>
      </w:tr>
      <w:tr w:rsidR="00D65C3B" w:rsidRPr="00D65C3B" w14:paraId="2E156B45" w14:textId="77777777" w:rsidTr="004774AC">
        <w:trPr>
          <w:trHeight w:val="288"/>
        </w:trPr>
        <w:tc>
          <w:tcPr>
            <w:tcW w:w="440" w:type="dxa"/>
            <w:shd w:val="clear" w:color="auto" w:fill="auto"/>
            <w:noWrap/>
            <w:vAlign w:val="bottom"/>
            <w:hideMark/>
          </w:tcPr>
          <w:p w14:paraId="4058B44D"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7</w:t>
            </w:r>
          </w:p>
        </w:tc>
        <w:tc>
          <w:tcPr>
            <w:tcW w:w="1828" w:type="dxa"/>
            <w:shd w:val="clear" w:color="auto" w:fill="auto"/>
            <w:noWrap/>
            <w:vAlign w:val="bottom"/>
            <w:hideMark/>
          </w:tcPr>
          <w:p w14:paraId="2609B9F4"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 xml:space="preserve">Cabernet sauvignon </w:t>
            </w:r>
          </w:p>
        </w:tc>
        <w:tc>
          <w:tcPr>
            <w:tcW w:w="2268" w:type="dxa"/>
            <w:shd w:val="clear" w:color="auto" w:fill="auto"/>
            <w:noWrap/>
            <w:vAlign w:val="bottom"/>
            <w:hideMark/>
          </w:tcPr>
          <w:p w14:paraId="5E2F8B9F"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7.1</w:t>
            </w:r>
          </w:p>
        </w:tc>
        <w:tc>
          <w:tcPr>
            <w:tcW w:w="1701" w:type="dxa"/>
            <w:shd w:val="clear" w:color="auto" w:fill="auto"/>
            <w:noWrap/>
            <w:vAlign w:val="bottom"/>
            <w:hideMark/>
          </w:tcPr>
          <w:p w14:paraId="610C45A0"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3.5%</w:t>
            </w:r>
          </w:p>
        </w:tc>
        <w:tc>
          <w:tcPr>
            <w:tcW w:w="2835" w:type="dxa"/>
            <w:shd w:val="clear" w:color="auto" w:fill="auto"/>
            <w:noWrap/>
            <w:vAlign w:val="bottom"/>
            <w:hideMark/>
          </w:tcPr>
          <w:p w14:paraId="2ED7F66C" w14:textId="77777777" w:rsidR="00D65C3B" w:rsidRPr="00D65C3B" w:rsidRDefault="00D65C3B" w:rsidP="00D65C3B">
            <w:pPr>
              <w:jc w:val="right"/>
              <w:rPr>
                <w:rFonts w:ascii="Times New Roman" w:hAnsi="Times New Roman" w:cs="Times New Roman"/>
                <w:b/>
                <w:bCs/>
                <w:color w:val="auto"/>
                <w:sz w:val="22"/>
                <w:szCs w:val="22"/>
                <w:lang w:eastAsia="en-US"/>
              </w:rPr>
            </w:pPr>
            <w:r w:rsidRPr="00D65C3B">
              <w:rPr>
                <w:rFonts w:ascii="Times New Roman" w:hAnsi="Times New Roman" w:cs="Times New Roman"/>
                <w:b/>
                <w:bCs/>
                <w:color w:val="auto"/>
                <w:sz w:val="22"/>
                <w:szCs w:val="22"/>
                <w:lang w:eastAsia="en-US"/>
              </w:rPr>
              <w:t>35,414</w:t>
            </w:r>
          </w:p>
        </w:tc>
      </w:tr>
      <w:tr w:rsidR="00D65C3B" w:rsidRPr="00D65C3B" w14:paraId="2D1291C1" w14:textId="77777777" w:rsidTr="004774AC">
        <w:trPr>
          <w:trHeight w:val="288"/>
        </w:trPr>
        <w:tc>
          <w:tcPr>
            <w:tcW w:w="440" w:type="dxa"/>
            <w:shd w:val="clear" w:color="auto" w:fill="auto"/>
            <w:noWrap/>
            <w:vAlign w:val="bottom"/>
            <w:hideMark/>
          </w:tcPr>
          <w:p w14:paraId="06C10E56"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8</w:t>
            </w:r>
          </w:p>
        </w:tc>
        <w:tc>
          <w:tcPr>
            <w:tcW w:w="1828" w:type="dxa"/>
            <w:shd w:val="clear" w:color="auto" w:fill="auto"/>
            <w:noWrap/>
            <w:vAlign w:val="bottom"/>
            <w:hideMark/>
          </w:tcPr>
          <w:p w14:paraId="374FABAB"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Rajnski rizling</w:t>
            </w:r>
          </w:p>
        </w:tc>
        <w:tc>
          <w:tcPr>
            <w:tcW w:w="2268" w:type="dxa"/>
            <w:shd w:val="clear" w:color="auto" w:fill="auto"/>
            <w:noWrap/>
            <w:vAlign w:val="bottom"/>
            <w:hideMark/>
          </w:tcPr>
          <w:p w14:paraId="0679A254"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6.9</w:t>
            </w:r>
          </w:p>
        </w:tc>
        <w:tc>
          <w:tcPr>
            <w:tcW w:w="1701" w:type="dxa"/>
            <w:shd w:val="clear" w:color="auto" w:fill="auto"/>
            <w:noWrap/>
            <w:vAlign w:val="bottom"/>
            <w:hideMark/>
          </w:tcPr>
          <w:p w14:paraId="035536E1"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3.4%</w:t>
            </w:r>
          </w:p>
        </w:tc>
        <w:tc>
          <w:tcPr>
            <w:tcW w:w="2835" w:type="dxa"/>
            <w:shd w:val="clear" w:color="auto" w:fill="auto"/>
            <w:noWrap/>
            <w:vAlign w:val="bottom"/>
            <w:hideMark/>
          </w:tcPr>
          <w:p w14:paraId="7726F85A"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34,343</w:t>
            </w:r>
          </w:p>
        </w:tc>
      </w:tr>
      <w:tr w:rsidR="00D65C3B" w:rsidRPr="00D65C3B" w14:paraId="5EA07242" w14:textId="77777777" w:rsidTr="004774AC">
        <w:trPr>
          <w:trHeight w:val="288"/>
        </w:trPr>
        <w:tc>
          <w:tcPr>
            <w:tcW w:w="440" w:type="dxa"/>
            <w:shd w:val="clear" w:color="auto" w:fill="auto"/>
            <w:noWrap/>
            <w:vAlign w:val="bottom"/>
            <w:hideMark/>
          </w:tcPr>
          <w:p w14:paraId="3C6E69A9"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9</w:t>
            </w:r>
          </w:p>
        </w:tc>
        <w:tc>
          <w:tcPr>
            <w:tcW w:w="1828" w:type="dxa"/>
            <w:shd w:val="clear" w:color="auto" w:fill="auto"/>
            <w:noWrap/>
            <w:vAlign w:val="bottom"/>
            <w:hideMark/>
          </w:tcPr>
          <w:p w14:paraId="72D85C59"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Plavac mali</w:t>
            </w:r>
          </w:p>
        </w:tc>
        <w:tc>
          <w:tcPr>
            <w:tcW w:w="2268" w:type="dxa"/>
            <w:shd w:val="clear" w:color="auto" w:fill="auto"/>
            <w:noWrap/>
            <w:vAlign w:val="bottom"/>
            <w:hideMark/>
          </w:tcPr>
          <w:p w14:paraId="715BA802"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4.9</w:t>
            </w:r>
          </w:p>
        </w:tc>
        <w:tc>
          <w:tcPr>
            <w:tcW w:w="1701" w:type="dxa"/>
            <w:shd w:val="clear" w:color="auto" w:fill="auto"/>
            <w:noWrap/>
            <w:vAlign w:val="bottom"/>
            <w:hideMark/>
          </w:tcPr>
          <w:p w14:paraId="6449414C"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2.4%</w:t>
            </w:r>
          </w:p>
        </w:tc>
        <w:tc>
          <w:tcPr>
            <w:tcW w:w="2835" w:type="dxa"/>
            <w:shd w:val="clear" w:color="auto" w:fill="auto"/>
            <w:noWrap/>
            <w:vAlign w:val="bottom"/>
            <w:hideMark/>
          </w:tcPr>
          <w:p w14:paraId="695AE217"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24,500</w:t>
            </w:r>
          </w:p>
        </w:tc>
      </w:tr>
      <w:tr w:rsidR="00D65C3B" w:rsidRPr="00D65C3B" w14:paraId="148C7C00" w14:textId="77777777" w:rsidTr="004774AC">
        <w:trPr>
          <w:trHeight w:val="288"/>
        </w:trPr>
        <w:tc>
          <w:tcPr>
            <w:tcW w:w="440" w:type="dxa"/>
            <w:shd w:val="clear" w:color="auto" w:fill="auto"/>
            <w:noWrap/>
            <w:vAlign w:val="bottom"/>
            <w:hideMark/>
          </w:tcPr>
          <w:p w14:paraId="4C4C2904"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10</w:t>
            </w:r>
          </w:p>
        </w:tc>
        <w:tc>
          <w:tcPr>
            <w:tcW w:w="1828" w:type="dxa"/>
            <w:shd w:val="clear" w:color="auto" w:fill="auto"/>
            <w:noWrap/>
            <w:vAlign w:val="bottom"/>
            <w:hideMark/>
          </w:tcPr>
          <w:p w14:paraId="20CE4C88"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 xml:space="preserve">Maraština </w:t>
            </w:r>
          </w:p>
        </w:tc>
        <w:tc>
          <w:tcPr>
            <w:tcW w:w="2268" w:type="dxa"/>
            <w:shd w:val="clear" w:color="auto" w:fill="auto"/>
            <w:noWrap/>
            <w:vAlign w:val="bottom"/>
            <w:hideMark/>
          </w:tcPr>
          <w:p w14:paraId="255ABB39"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4.5</w:t>
            </w:r>
          </w:p>
        </w:tc>
        <w:tc>
          <w:tcPr>
            <w:tcW w:w="1701" w:type="dxa"/>
            <w:shd w:val="clear" w:color="auto" w:fill="auto"/>
            <w:noWrap/>
            <w:vAlign w:val="bottom"/>
            <w:hideMark/>
          </w:tcPr>
          <w:p w14:paraId="24CD4DEE"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2.2%</w:t>
            </w:r>
          </w:p>
        </w:tc>
        <w:tc>
          <w:tcPr>
            <w:tcW w:w="2835" w:type="dxa"/>
            <w:shd w:val="clear" w:color="auto" w:fill="auto"/>
            <w:noWrap/>
            <w:vAlign w:val="bottom"/>
            <w:hideMark/>
          </w:tcPr>
          <w:p w14:paraId="73335D3A"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22,357</w:t>
            </w:r>
          </w:p>
        </w:tc>
      </w:tr>
      <w:tr w:rsidR="00D65C3B" w:rsidRPr="00D65C3B" w14:paraId="458442DA" w14:textId="77777777" w:rsidTr="004774AC">
        <w:trPr>
          <w:trHeight w:val="288"/>
        </w:trPr>
        <w:tc>
          <w:tcPr>
            <w:tcW w:w="440" w:type="dxa"/>
            <w:shd w:val="clear" w:color="auto" w:fill="auto"/>
            <w:noWrap/>
            <w:vAlign w:val="bottom"/>
            <w:hideMark/>
          </w:tcPr>
          <w:p w14:paraId="6C7DBE46"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11</w:t>
            </w:r>
          </w:p>
        </w:tc>
        <w:tc>
          <w:tcPr>
            <w:tcW w:w="1828" w:type="dxa"/>
            <w:shd w:val="clear" w:color="auto" w:fill="auto"/>
            <w:noWrap/>
            <w:vAlign w:val="bottom"/>
            <w:hideMark/>
          </w:tcPr>
          <w:p w14:paraId="2EF97F10"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Frankovka</w:t>
            </w:r>
          </w:p>
        </w:tc>
        <w:tc>
          <w:tcPr>
            <w:tcW w:w="2268" w:type="dxa"/>
            <w:shd w:val="clear" w:color="auto" w:fill="auto"/>
            <w:noWrap/>
            <w:vAlign w:val="bottom"/>
            <w:hideMark/>
          </w:tcPr>
          <w:p w14:paraId="348C5790"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4.1</w:t>
            </w:r>
          </w:p>
        </w:tc>
        <w:tc>
          <w:tcPr>
            <w:tcW w:w="1701" w:type="dxa"/>
            <w:shd w:val="clear" w:color="auto" w:fill="auto"/>
            <w:noWrap/>
            <w:vAlign w:val="bottom"/>
            <w:hideMark/>
          </w:tcPr>
          <w:p w14:paraId="0708057C"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2.0%</w:t>
            </w:r>
          </w:p>
        </w:tc>
        <w:tc>
          <w:tcPr>
            <w:tcW w:w="2835" w:type="dxa"/>
            <w:shd w:val="clear" w:color="auto" w:fill="auto"/>
            <w:noWrap/>
            <w:vAlign w:val="bottom"/>
            <w:hideMark/>
          </w:tcPr>
          <w:p w14:paraId="59C7152D"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20,593</w:t>
            </w:r>
          </w:p>
        </w:tc>
      </w:tr>
      <w:tr w:rsidR="00D65C3B" w:rsidRPr="00D65C3B" w14:paraId="66311243" w14:textId="77777777" w:rsidTr="004774AC">
        <w:trPr>
          <w:trHeight w:val="288"/>
        </w:trPr>
        <w:tc>
          <w:tcPr>
            <w:tcW w:w="440" w:type="dxa"/>
            <w:shd w:val="clear" w:color="auto" w:fill="auto"/>
            <w:noWrap/>
            <w:vAlign w:val="bottom"/>
            <w:hideMark/>
          </w:tcPr>
          <w:p w14:paraId="7E05876C"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12</w:t>
            </w:r>
          </w:p>
        </w:tc>
        <w:tc>
          <w:tcPr>
            <w:tcW w:w="1828" w:type="dxa"/>
            <w:shd w:val="clear" w:color="auto" w:fill="auto"/>
            <w:noWrap/>
            <w:vAlign w:val="bottom"/>
            <w:hideMark/>
          </w:tcPr>
          <w:p w14:paraId="35293F75"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Traminac crveni</w:t>
            </w:r>
          </w:p>
        </w:tc>
        <w:tc>
          <w:tcPr>
            <w:tcW w:w="2268" w:type="dxa"/>
            <w:shd w:val="clear" w:color="auto" w:fill="auto"/>
            <w:noWrap/>
            <w:vAlign w:val="bottom"/>
            <w:hideMark/>
          </w:tcPr>
          <w:p w14:paraId="0A7443D9"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4.0</w:t>
            </w:r>
          </w:p>
        </w:tc>
        <w:tc>
          <w:tcPr>
            <w:tcW w:w="1701" w:type="dxa"/>
            <w:shd w:val="clear" w:color="auto" w:fill="auto"/>
            <w:noWrap/>
            <w:vAlign w:val="bottom"/>
            <w:hideMark/>
          </w:tcPr>
          <w:p w14:paraId="295B953B"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2.0%</w:t>
            </w:r>
          </w:p>
        </w:tc>
        <w:tc>
          <w:tcPr>
            <w:tcW w:w="2835" w:type="dxa"/>
            <w:shd w:val="clear" w:color="auto" w:fill="auto"/>
            <w:noWrap/>
            <w:vAlign w:val="bottom"/>
            <w:hideMark/>
          </w:tcPr>
          <w:p w14:paraId="3978B128"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20,129</w:t>
            </w:r>
          </w:p>
        </w:tc>
      </w:tr>
      <w:tr w:rsidR="00D65C3B" w:rsidRPr="00D65C3B" w14:paraId="19AC7737" w14:textId="77777777" w:rsidTr="004774AC">
        <w:trPr>
          <w:trHeight w:val="288"/>
        </w:trPr>
        <w:tc>
          <w:tcPr>
            <w:tcW w:w="440" w:type="dxa"/>
            <w:shd w:val="clear" w:color="auto" w:fill="auto"/>
            <w:noWrap/>
            <w:vAlign w:val="bottom"/>
            <w:hideMark/>
          </w:tcPr>
          <w:p w14:paraId="0396802A"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13</w:t>
            </w:r>
          </w:p>
        </w:tc>
        <w:tc>
          <w:tcPr>
            <w:tcW w:w="1828" w:type="dxa"/>
            <w:shd w:val="clear" w:color="auto" w:fill="auto"/>
            <w:noWrap/>
            <w:vAlign w:val="bottom"/>
            <w:hideMark/>
          </w:tcPr>
          <w:p w14:paraId="3FBF8D58"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Silvanac zeleni</w:t>
            </w:r>
          </w:p>
        </w:tc>
        <w:tc>
          <w:tcPr>
            <w:tcW w:w="2268" w:type="dxa"/>
            <w:shd w:val="clear" w:color="auto" w:fill="auto"/>
            <w:noWrap/>
            <w:vAlign w:val="bottom"/>
            <w:hideMark/>
          </w:tcPr>
          <w:p w14:paraId="329E4AC0"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3.2</w:t>
            </w:r>
          </w:p>
        </w:tc>
        <w:tc>
          <w:tcPr>
            <w:tcW w:w="1701" w:type="dxa"/>
            <w:shd w:val="clear" w:color="auto" w:fill="auto"/>
            <w:noWrap/>
            <w:vAlign w:val="bottom"/>
            <w:hideMark/>
          </w:tcPr>
          <w:p w14:paraId="7DA68329"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1.6%</w:t>
            </w:r>
          </w:p>
        </w:tc>
        <w:tc>
          <w:tcPr>
            <w:tcW w:w="2835" w:type="dxa"/>
            <w:shd w:val="clear" w:color="auto" w:fill="auto"/>
            <w:noWrap/>
            <w:vAlign w:val="bottom"/>
            <w:hideMark/>
          </w:tcPr>
          <w:p w14:paraId="7802ACCF"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16,007</w:t>
            </w:r>
          </w:p>
        </w:tc>
      </w:tr>
      <w:tr w:rsidR="00D65C3B" w:rsidRPr="00D65C3B" w14:paraId="0AB28935" w14:textId="77777777" w:rsidTr="004774AC">
        <w:trPr>
          <w:trHeight w:val="288"/>
        </w:trPr>
        <w:tc>
          <w:tcPr>
            <w:tcW w:w="440" w:type="dxa"/>
            <w:shd w:val="clear" w:color="auto" w:fill="auto"/>
            <w:noWrap/>
            <w:vAlign w:val="bottom"/>
            <w:hideMark/>
          </w:tcPr>
          <w:p w14:paraId="08662FC2"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14</w:t>
            </w:r>
          </w:p>
        </w:tc>
        <w:tc>
          <w:tcPr>
            <w:tcW w:w="1828" w:type="dxa"/>
            <w:shd w:val="clear" w:color="auto" w:fill="auto"/>
            <w:noWrap/>
            <w:vAlign w:val="bottom"/>
            <w:hideMark/>
          </w:tcPr>
          <w:p w14:paraId="5342D07C"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Pinot crni</w:t>
            </w:r>
          </w:p>
        </w:tc>
        <w:tc>
          <w:tcPr>
            <w:tcW w:w="2268" w:type="dxa"/>
            <w:shd w:val="clear" w:color="auto" w:fill="auto"/>
            <w:noWrap/>
            <w:vAlign w:val="bottom"/>
            <w:hideMark/>
          </w:tcPr>
          <w:p w14:paraId="454508ED"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2.6</w:t>
            </w:r>
          </w:p>
        </w:tc>
        <w:tc>
          <w:tcPr>
            <w:tcW w:w="1701" w:type="dxa"/>
            <w:shd w:val="clear" w:color="auto" w:fill="auto"/>
            <w:noWrap/>
            <w:vAlign w:val="bottom"/>
            <w:hideMark/>
          </w:tcPr>
          <w:p w14:paraId="04744AD0"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1.3%</w:t>
            </w:r>
          </w:p>
        </w:tc>
        <w:tc>
          <w:tcPr>
            <w:tcW w:w="2835" w:type="dxa"/>
            <w:shd w:val="clear" w:color="auto" w:fill="auto"/>
            <w:noWrap/>
            <w:vAlign w:val="bottom"/>
            <w:hideMark/>
          </w:tcPr>
          <w:p w14:paraId="7C66B173"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13,000</w:t>
            </w:r>
          </w:p>
        </w:tc>
      </w:tr>
      <w:tr w:rsidR="00D65C3B" w:rsidRPr="00D65C3B" w14:paraId="6BDF297A" w14:textId="77777777" w:rsidTr="004774AC">
        <w:trPr>
          <w:trHeight w:val="288"/>
        </w:trPr>
        <w:tc>
          <w:tcPr>
            <w:tcW w:w="440" w:type="dxa"/>
            <w:shd w:val="clear" w:color="auto" w:fill="auto"/>
            <w:noWrap/>
            <w:vAlign w:val="bottom"/>
            <w:hideMark/>
          </w:tcPr>
          <w:p w14:paraId="7E46769D"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15</w:t>
            </w:r>
          </w:p>
        </w:tc>
        <w:tc>
          <w:tcPr>
            <w:tcW w:w="1828" w:type="dxa"/>
            <w:shd w:val="clear" w:color="auto" w:fill="auto"/>
            <w:noWrap/>
            <w:vAlign w:val="bottom"/>
            <w:hideMark/>
          </w:tcPr>
          <w:p w14:paraId="7041665C"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Syrah</w:t>
            </w:r>
          </w:p>
        </w:tc>
        <w:tc>
          <w:tcPr>
            <w:tcW w:w="2268" w:type="dxa"/>
            <w:shd w:val="clear" w:color="auto" w:fill="auto"/>
            <w:noWrap/>
            <w:vAlign w:val="bottom"/>
            <w:hideMark/>
          </w:tcPr>
          <w:p w14:paraId="1800C50B"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2.6</w:t>
            </w:r>
          </w:p>
        </w:tc>
        <w:tc>
          <w:tcPr>
            <w:tcW w:w="1701" w:type="dxa"/>
            <w:shd w:val="clear" w:color="auto" w:fill="auto"/>
            <w:noWrap/>
            <w:vAlign w:val="bottom"/>
            <w:hideMark/>
          </w:tcPr>
          <w:p w14:paraId="709406F1"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1.3%</w:t>
            </w:r>
          </w:p>
        </w:tc>
        <w:tc>
          <w:tcPr>
            <w:tcW w:w="2835" w:type="dxa"/>
            <w:shd w:val="clear" w:color="auto" w:fill="auto"/>
            <w:noWrap/>
            <w:vAlign w:val="bottom"/>
            <w:hideMark/>
          </w:tcPr>
          <w:p w14:paraId="79DB447B"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12,929</w:t>
            </w:r>
          </w:p>
        </w:tc>
      </w:tr>
      <w:tr w:rsidR="00D65C3B" w:rsidRPr="00D65C3B" w14:paraId="265A587C" w14:textId="77777777" w:rsidTr="004774AC">
        <w:trPr>
          <w:trHeight w:val="288"/>
        </w:trPr>
        <w:tc>
          <w:tcPr>
            <w:tcW w:w="440" w:type="dxa"/>
            <w:shd w:val="clear" w:color="auto" w:fill="auto"/>
            <w:noWrap/>
            <w:vAlign w:val="bottom"/>
            <w:hideMark/>
          </w:tcPr>
          <w:p w14:paraId="6B4724D4"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16</w:t>
            </w:r>
          </w:p>
        </w:tc>
        <w:tc>
          <w:tcPr>
            <w:tcW w:w="1828" w:type="dxa"/>
            <w:shd w:val="clear" w:color="auto" w:fill="auto"/>
            <w:noWrap/>
            <w:vAlign w:val="bottom"/>
            <w:hideMark/>
          </w:tcPr>
          <w:p w14:paraId="235CCE6E"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Moslavac</w:t>
            </w:r>
          </w:p>
        </w:tc>
        <w:tc>
          <w:tcPr>
            <w:tcW w:w="2268" w:type="dxa"/>
            <w:shd w:val="clear" w:color="auto" w:fill="auto"/>
            <w:noWrap/>
            <w:vAlign w:val="bottom"/>
            <w:hideMark/>
          </w:tcPr>
          <w:p w14:paraId="3A681DB7"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2.5</w:t>
            </w:r>
          </w:p>
        </w:tc>
        <w:tc>
          <w:tcPr>
            <w:tcW w:w="1701" w:type="dxa"/>
            <w:shd w:val="clear" w:color="auto" w:fill="auto"/>
            <w:noWrap/>
            <w:vAlign w:val="bottom"/>
            <w:hideMark/>
          </w:tcPr>
          <w:p w14:paraId="4748C175"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1.2%</w:t>
            </w:r>
          </w:p>
        </w:tc>
        <w:tc>
          <w:tcPr>
            <w:tcW w:w="2835" w:type="dxa"/>
            <w:shd w:val="clear" w:color="auto" w:fill="auto"/>
            <w:noWrap/>
            <w:vAlign w:val="bottom"/>
            <w:hideMark/>
          </w:tcPr>
          <w:p w14:paraId="4D328663" w14:textId="77777777" w:rsidR="00D65C3B" w:rsidRPr="00D65C3B" w:rsidRDefault="00D65C3B" w:rsidP="00D65C3B">
            <w:pPr>
              <w:jc w:val="right"/>
              <w:rPr>
                <w:rFonts w:ascii="Times New Roman" w:hAnsi="Times New Roman" w:cs="Times New Roman"/>
                <w:b/>
                <w:bCs/>
                <w:color w:val="auto"/>
                <w:sz w:val="22"/>
                <w:szCs w:val="22"/>
                <w:lang w:eastAsia="en-US"/>
              </w:rPr>
            </w:pPr>
            <w:r w:rsidRPr="00D65C3B">
              <w:rPr>
                <w:rFonts w:ascii="Times New Roman" w:hAnsi="Times New Roman" w:cs="Times New Roman"/>
                <w:b/>
                <w:bCs/>
                <w:color w:val="auto"/>
                <w:sz w:val="22"/>
                <w:szCs w:val="22"/>
                <w:lang w:eastAsia="en-US"/>
              </w:rPr>
              <w:t>12,607</w:t>
            </w:r>
          </w:p>
        </w:tc>
      </w:tr>
      <w:tr w:rsidR="00D65C3B" w:rsidRPr="00D65C3B" w14:paraId="1EBAE6CE" w14:textId="77777777" w:rsidTr="004774AC">
        <w:trPr>
          <w:trHeight w:val="288"/>
        </w:trPr>
        <w:tc>
          <w:tcPr>
            <w:tcW w:w="440" w:type="dxa"/>
            <w:shd w:val="clear" w:color="auto" w:fill="auto"/>
            <w:noWrap/>
            <w:vAlign w:val="bottom"/>
            <w:hideMark/>
          </w:tcPr>
          <w:p w14:paraId="730162B0"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17</w:t>
            </w:r>
          </w:p>
        </w:tc>
        <w:tc>
          <w:tcPr>
            <w:tcW w:w="1828" w:type="dxa"/>
            <w:shd w:val="clear" w:color="auto" w:fill="auto"/>
            <w:noWrap/>
            <w:vAlign w:val="bottom"/>
            <w:hideMark/>
          </w:tcPr>
          <w:p w14:paraId="1733EB62"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 xml:space="preserve">Cabernet franc </w:t>
            </w:r>
          </w:p>
        </w:tc>
        <w:tc>
          <w:tcPr>
            <w:tcW w:w="2268" w:type="dxa"/>
            <w:shd w:val="clear" w:color="auto" w:fill="auto"/>
            <w:noWrap/>
            <w:vAlign w:val="bottom"/>
            <w:hideMark/>
          </w:tcPr>
          <w:p w14:paraId="3DD9C261"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2.1</w:t>
            </w:r>
          </w:p>
        </w:tc>
        <w:tc>
          <w:tcPr>
            <w:tcW w:w="1701" w:type="dxa"/>
            <w:shd w:val="clear" w:color="auto" w:fill="auto"/>
            <w:noWrap/>
            <w:vAlign w:val="bottom"/>
            <w:hideMark/>
          </w:tcPr>
          <w:p w14:paraId="6602CA6B"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1.0%</w:t>
            </w:r>
          </w:p>
        </w:tc>
        <w:tc>
          <w:tcPr>
            <w:tcW w:w="2835" w:type="dxa"/>
            <w:shd w:val="clear" w:color="auto" w:fill="auto"/>
            <w:noWrap/>
            <w:vAlign w:val="bottom"/>
            <w:hideMark/>
          </w:tcPr>
          <w:p w14:paraId="141C5A25"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10,693</w:t>
            </w:r>
          </w:p>
        </w:tc>
      </w:tr>
      <w:tr w:rsidR="00D65C3B" w:rsidRPr="00D65C3B" w14:paraId="546A26C7" w14:textId="77777777" w:rsidTr="004774AC">
        <w:trPr>
          <w:trHeight w:val="288"/>
        </w:trPr>
        <w:tc>
          <w:tcPr>
            <w:tcW w:w="440" w:type="dxa"/>
            <w:shd w:val="clear" w:color="auto" w:fill="auto"/>
            <w:noWrap/>
            <w:vAlign w:val="bottom"/>
            <w:hideMark/>
          </w:tcPr>
          <w:p w14:paraId="03352A82"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18</w:t>
            </w:r>
          </w:p>
        </w:tc>
        <w:tc>
          <w:tcPr>
            <w:tcW w:w="1828" w:type="dxa"/>
            <w:shd w:val="clear" w:color="auto" w:fill="auto"/>
            <w:noWrap/>
            <w:vAlign w:val="bottom"/>
            <w:hideMark/>
          </w:tcPr>
          <w:p w14:paraId="29AC5D26"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Teran</w:t>
            </w:r>
          </w:p>
        </w:tc>
        <w:tc>
          <w:tcPr>
            <w:tcW w:w="2268" w:type="dxa"/>
            <w:shd w:val="clear" w:color="auto" w:fill="auto"/>
            <w:noWrap/>
            <w:vAlign w:val="bottom"/>
            <w:hideMark/>
          </w:tcPr>
          <w:p w14:paraId="547E3CD1"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2.1</w:t>
            </w:r>
          </w:p>
        </w:tc>
        <w:tc>
          <w:tcPr>
            <w:tcW w:w="1701" w:type="dxa"/>
            <w:shd w:val="clear" w:color="auto" w:fill="auto"/>
            <w:noWrap/>
            <w:vAlign w:val="bottom"/>
            <w:hideMark/>
          </w:tcPr>
          <w:p w14:paraId="09F00FBF"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1.0%</w:t>
            </w:r>
          </w:p>
        </w:tc>
        <w:tc>
          <w:tcPr>
            <w:tcW w:w="2835" w:type="dxa"/>
            <w:shd w:val="clear" w:color="auto" w:fill="auto"/>
            <w:noWrap/>
            <w:vAlign w:val="bottom"/>
            <w:hideMark/>
          </w:tcPr>
          <w:p w14:paraId="5998C27D" w14:textId="77777777" w:rsidR="00D65C3B" w:rsidRPr="00D65C3B" w:rsidRDefault="00D65C3B" w:rsidP="00D65C3B">
            <w:pPr>
              <w:jc w:val="right"/>
              <w:rPr>
                <w:rFonts w:ascii="Times New Roman" w:hAnsi="Times New Roman" w:cs="Times New Roman"/>
                <w:b/>
                <w:bCs/>
                <w:color w:val="auto"/>
                <w:sz w:val="22"/>
                <w:szCs w:val="22"/>
                <w:lang w:eastAsia="en-US"/>
              </w:rPr>
            </w:pPr>
            <w:r w:rsidRPr="00D65C3B">
              <w:rPr>
                <w:rFonts w:ascii="Times New Roman" w:hAnsi="Times New Roman" w:cs="Times New Roman"/>
                <w:b/>
                <w:bCs/>
                <w:color w:val="auto"/>
                <w:sz w:val="22"/>
                <w:szCs w:val="22"/>
                <w:lang w:eastAsia="en-US"/>
              </w:rPr>
              <w:t>10,471</w:t>
            </w:r>
          </w:p>
        </w:tc>
      </w:tr>
      <w:tr w:rsidR="00D65C3B" w:rsidRPr="00D65C3B" w14:paraId="7A4915DD" w14:textId="77777777" w:rsidTr="004774AC">
        <w:trPr>
          <w:trHeight w:val="288"/>
        </w:trPr>
        <w:tc>
          <w:tcPr>
            <w:tcW w:w="440" w:type="dxa"/>
            <w:shd w:val="clear" w:color="auto" w:fill="auto"/>
            <w:noWrap/>
            <w:vAlign w:val="bottom"/>
            <w:hideMark/>
          </w:tcPr>
          <w:p w14:paraId="075E7351"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19</w:t>
            </w:r>
          </w:p>
        </w:tc>
        <w:tc>
          <w:tcPr>
            <w:tcW w:w="1828" w:type="dxa"/>
            <w:shd w:val="clear" w:color="auto" w:fill="auto"/>
            <w:noWrap/>
            <w:vAlign w:val="bottom"/>
            <w:hideMark/>
          </w:tcPr>
          <w:p w14:paraId="4D7AA7CB"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Tribidrag</w:t>
            </w:r>
          </w:p>
        </w:tc>
        <w:tc>
          <w:tcPr>
            <w:tcW w:w="2268" w:type="dxa"/>
            <w:shd w:val="clear" w:color="auto" w:fill="auto"/>
            <w:noWrap/>
            <w:vAlign w:val="bottom"/>
            <w:hideMark/>
          </w:tcPr>
          <w:p w14:paraId="7583E784"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1.9</w:t>
            </w:r>
          </w:p>
        </w:tc>
        <w:tc>
          <w:tcPr>
            <w:tcW w:w="1701" w:type="dxa"/>
            <w:shd w:val="clear" w:color="auto" w:fill="auto"/>
            <w:noWrap/>
            <w:vAlign w:val="bottom"/>
            <w:hideMark/>
          </w:tcPr>
          <w:p w14:paraId="6055ABD0"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0.9%</w:t>
            </w:r>
          </w:p>
        </w:tc>
        <w:tc>
          <w:tcPr>
            <w:tcW w:w="2835" w:type="dxa"/>
            <w:shd w:val="clear" w:color="auto" w:fill="auto"/>
            <w:noWrap/>
            <w:vAlign w:val="bottom"/>
            <w:hideMark/>
          </w:tcPr>
          <w:p w14:paraId="51AD23F4"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9,636</w:t>
            </w:r>
          </w:p>
        </w:tc>
      </w:tr>
      <w:tr w:rsidR="00D65C3B" w:rsidRPr="00D65C3B" w14:paraId="4EAF9077" w14:textId="77777777" w:rsidTr="004774AC">
        <w:trPr>
          <w:trHeight w:val="288"/>
        </w:trPr>
        <w:tc>
          <w:tcPr>
            <w:tcW w:w="440" w:type="dxa"/>
            <w:shd w:val="clear" w:color="auto" w:fill="auto"/>
            <w:noWrap/>
            <w:vAlign w:val="bottom"/>
            <w:hideMark/>
          </w:tcPr>
          <w:p w14:paraId="60D8B166"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20</w:t>
            </w:r>
          </w:p>
        </w:tc>
        <w:tc>
          <w:tcPr>
            <w:tcW w:w="1828" w:type="dxa"/>
            <w:shd w:val="clear" w:color="auto" w:fill="auto"/>
            <w:noWrap/>
            <w:vAlign w:val="bottom"/>
            <w:hideMark/>
          </w:tcPr>
          <w:p w14:paraId="741A8878"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Muškat žuti</w:t>
            </w:r>
          </w:p>
        </w:tc>
        <w:tc>
          <w:tcPr>
            <w:tcW w:w="2268" w:type="dxa"/>
            <w:shd w:val="clear" w:color="auto" w:fill="auto"/>
            <w:noWrap/>
            <w:vAlign w:val="bottom"/>
            <w:hideMark/>
          </w:tcPr>
          <w:p w14:paraId="38F24B72"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1.9</w:t>
            </w:r>
          </w:p>
        </w:tc>
        <w:tc>
          <w:tcPr>
            <w:tcW w:w="1701" w:type="dxa"/>
            <w:shd w:val="clear" w:color="auto" w:fill="auto"/>
            <w:noWrap/>
            <w:vAlign w:val="bottom"/>
            <w:hideMark/>
          </w:tcPr>
          <w:p w14:paraId="424524F6"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0.9%</w:t>
            </w:r>
          </w:p>
        </w:tc>
        <w:tc>
          <w:tcPr>
            <w:tcW w:w="2835" w:type="dxa"/>
            <w:shd w:val="clear" w:color="auto" w:fill="auto"/>
            <w:noWrap/>
            <w:vAlign w:val="bottom"/>
            <w:hideMark/>
          </w:tcPr>
          <w:p w14:paraId="71A7D552"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9,414</w:t>
            </w:r>
          </w:p>
        </w:tc>
      </w:tr>
      <w:tr w:rsidR="00D65C3B" w:rsidRPr="00D65C3B" w14:paraId="6993A747" w14:textId="77777777" w:rsidTr="004774AC">
        <w:trPr>
          <w:trHeight w:val="288"/>
        </w:trPr>
        <w:tc>
          <w:tcPr>
            <w:tcW w:w="440" w:type="dxa"/>
            <w:shd w:val="clear" w:color="auto" w:fill="auto"/>
            <w:noWrap/>
            <w:vAlign w:val="bottom"/>
            <w:hideMark/>
          </w:tcPr>
          <w:p w14:paraId="404611CD"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21</w:t>
            </w:r>
          </w:p>
        </w:tc>
        <w:tc>
          <w:tcPr>
            <w:tcW w:w="1828" w:type="dxa"/>
            <w:shd w:val="clear" w:color="auto" w:fill="auto"/>
            <w:noWrap/>
            <w:vAlign w:val="bottom"/>
            <w:hideMark/>
          </w:tcPr>
          <w:p w14:paraId="5B25C6E1"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Pinot sivi</w:t>
            </w:r>
          </w:p>
        </w:tc>
        <w:tc>
          <w:tcPr>
            <w:tcW w:w="2268" w:type="dxa"/>
            <w:shd w:val="clear" w:color="auto" w:fill="auto"/>
            <w:noWrap/>
            <w:vAlign w:val="bottom"/>
            <w:hideMark/>
          </w:tcPr>
          <w:p w14:paraId="534B84AC"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1.8</w:t>
            </w:r>
          </w:p>
        </w:tc>
        <w:tc>
          <w:tcPr>
            <w:tcW w:w="1701" w:type="dxa"/>
            <w:shd w:val="clear" w:color="auto" w:fill="auto"/>
            <w:noWrap/>
            <w:vAlign w:val="bottom"/>
            <w:hideMark/>
          </w:tcPr>
          <w:p w14:paraId="132D99A5"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0.9%</w:t>
            </w:r>
          </w:p>
        </w:tc>
        <w:tc>
          <w:tcPr>
            <w:tcW w:w="2835" w:type="dxa"/>
            <w:shd w:val="clear" w:color="auto" w:fill="auto"/>
            <w:noWrap/>
            <w:vAlign w:val="bottom"/>
            <w:hideMark/>
          </w:tcPr>
          <w:p w14:paraId="576C1CA4"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9,236</w:t>
            </w:r>
          </w:p>
        </w:tc>
      </w:tr>
      <w:tr w:rsidR="00D65C3B" w:rsidRPr="00D65C3B" w14:paraId="40C03A29" w14:textId="77777777" w:rsidTr="004774AC">
        <w:trPr>
          <w:trHeight w:val="288"/>
        </w:trPr>
        <w:tc>
          <w:tcPr>
            <w:tcW w:w="440" w:type="dxa"/>
            <w:shd w:val="clear" w:color="auto" w:fill="auto"/>
            <w:noWrap/>
            <w:vAlign w:val="bottom"/>
            <w:hideMark/>
          </w:tcPr>
          <w:p w14:paraId="6085379E"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22</w:t>
            </w:r>
          </w:p>
        </w:tc>
        <w:tc>
          <w:tcPr>
            <w:tcW w:w="1828" w:type="dxa"/>
            <w:shd w:val="clear" w:color="auto" w:fill="auto"/>
            <w:noWrap/>
            <w:vAlign w:val="bottom"/>
            <w:hideMark/>
          </w:tcPr>
          <w:p w14:paraId="71B386A8"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Malvasia dubrovačka bijela</w:t>
            </w:r>
          </w:p>
        </w:tc>
        <w:tc>
          <w:tcPr>
            <w:tcW w:w="2268" w:type="dxa"/>
            <w:shd w:val="clear" w:color="auto" w:fill="auto"/>
            <w:noWrap/>
            <w:vAlign w:val="bottom"/>
            <w:hideMark/>
          </w:tcPr>
          <w:p w14:paraId="0F41C834"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1.7</w:t>
            </w:r>
          </w:p>
        </w:tc>
        <w:tc>
          <w:tcPr>
            <w:tcW w:w="1701" w:type="dxa"/>
            <w:shd w:val="clear" w:color="auto" w:fill="auto"/>
            <w:noWrap/>
            <w:vAlign w:val="bottom"/>
            <w:hideMark/>
          </w:tcPr>
          <w:p w14:paraId="69AA3F64"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0.9%</w:t>
            </w:r>
          </w:p>
        </w:tc>
        <w:tc>
          <w:tcPr>
            <w:tcW w:w="2835" w:type="dxa"/>
            <w:shd w:val="clear" w:color="auto" w:fill="auto"/>
            <w:noWrap/>
            <w:vAlign w:val="bottom"/>
            <w:hideMark/>
          </w:tcPr>
          <w:p w14:paraId="434ECAA0" w14:textId="77777777" w:rsidR="00D65C3B" w:rsidRPr="00D65C3B" w:rsidRDefault="00D65C3B" w:rsidP="00D65C3B">
            <w:pPr>
              <w:jc w:val="right"/>
              <w:rPr>
                <w:rFonts w:ascii="Times New Roman" w:hAnsi="Times New Roman" w:cs="Times New Roman"/>
                <w:b/>
                <w:bCs/>
                <w:color w:val="auto"/>
                <w:sz w:val="22"/>
                <w:szCs w:val="22"/>
                <w:lang w:eastAsia="en-US"/>
              </w:rPr>
            </w:pPr>
            <w:r w:rsidRPr="00D65C3B">
              <w:rPr>
                <w:rFonts w:ascii="Times New Roman" w:hAnsi="Times New Roman" w:cs="Times New Roman"/>
                <w:b/>
                <w:bCs/>
                <w:color w:val="auto"/>
                <w:sz w:val="22"/>
                <w:szCs w:val="22"/>
                <w:lang w:eastAsia="en-US"/>
              </w:rPr>
              <w:t>8,679</w:t>
            </w:r>
          </w:p>
        </w:tc>
      </w:tr>
      <w:tr w:rsidR="00D65C3B" w:rsidRPr="00D65C3B" w14:paraId="744E0603" w14:textId="77777777" w:rsidTr="004774AC">
        <w:trPr>
          <w:trHeight w:val="288"/>
        </w:trPr>
        <w:tc>
          <w:tcPr>
            <w:tcW w:w="440" w:type="dxa"/>
            <w:shd w:val="clear" w:color="auto" w:fill="auto"/>
            <w:noWrap/>
            <w:vAlign w:val="bottom"/>
            <w:hideMark/>
          </w:tcPr>
          <w:p w14:paraId="29840F29"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23</w:t>
            </w:r>
          </w:p>
        </w:tc>
        <w:tc>
          <w:tcPr>
            <w:tcW w:w="1828" w:type="dxa"/>
            <w:shd w:val="clear" w:color="auto" w:fill="auto"/>
            <w:noWrap/>
            <w:vAlign w:val="bottom"/>
            <w:hideMark/>
          </w:tcPr>
          <w:p w14:paraId="4A4670AF"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Škrlet</w:t>
            </w:r>
          </w:p>
        </w:tc>
        <w:tc>
          <w:tcPr>
            <w:tcW w:w="2268" w:type="dxa"/>
            <w:shd w:val="clear" w:color="auto" w:fill="auto"/>
            <w:noWrap/>
            <w:vAlign w:val="bottom"/>
            <w:hideMark/>
          </w:tcPr>
          <w:p w14:paraId="0B5DCCC8"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1.6</w:t>
            </w:r>
          </w:p>
        </w:tc>
        <w:tc>
          <w:tcPr>
            <w:tcW w:w="1701" w:type="dxa"/>
            <w:shd w:val="clear" w:color="auto" w:fill="auto"/>
            <w:noWrap/>
            <w:vAlign w:val="bottom"/>
            <w:hideMark/>
          </w:tcPr>
          <w:p w14:paraId="2885DB04"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0.8%</w:t>
            </w:r>
          </w:p>
        </w:tc>
        <w:tc>
          <w:tcPr>
            <w:tcW w:w="2835" w:type="dxa"/>
            <w:shd w:val="clear" w:color="auto" w:fill="auto"/>
            <w:noWrap/>
            <w:vAlign w:val="bottom"/>
            <w:hideMark/>
          </w:tcPr>
          <w:p w14:paraId="322FF16F"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7,758</w:t>
            </w:r>
          </w:p>
        </w:tc>
      </w:tr>
      <w:tr w:rsidR="00D65C3B" w:rsidRPr="00D65C3B" w14:paraId="7B9AD70F" w14:textId="77777777" w:rsidTr="004774AC">
        <w:trPr>
          <w:trHeight w:val="288"/>
        </w:trPr>
        <w:tc>
          <w:tcPr>
            <w:tcW w:w="440" w:type="dxa"/>
            <w:shd w:val="clear" w:color="auto" w:fill="auto"/>
            <w:noWrap/>
            <w:vAlign w:val="bottom"/>
            <w:hideMark/>
          </w:tcPr>
          <w:p w14:paraId="7049A75C"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24</w:t>
            </w:r>
          </w:p>
        </w:tc>
        <w:tc>
          <w:tcPr>
            <w:tcW w:w="1828" w:type="dxa"/>
            <w:shd w:val="clear" w:color="auto" w:fill="auto"/>
            <w:noWrap/>
            <w:vAlign w:val="bottom"/>
            <w:hideMark/>
          </w:tcPr>
          <w:p w14:paraId="54A66171"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 xml:space="preserve">Trebbiano toscano </w:t>
            </w:r>
          </w:p>
        </w:tc>
        <w:tc>
          <w:tcPr>
            <w:tcW w:w="2268" w:type="dxa"/>
            <w:shd w:val="clear" w:color="auto" w:fill="auto"/>
            <w:noWrap/>
            <w:vAlign w:val="bottom"/>
            <w:hideMark/>
          </w:tcPr>
          <w:p w14:paraId="0DF510FC"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1.4</w:t>
            </w:r>
          </w:p>
        </w:tc>
        <w:tc>
          <w:tcPr>
            <w:tcW w:w="1701" w:type="dxa"/>
            <w:shd w:val="clear" w:color="auto" w:fill="auto"/>
            <w:noWrap/>
            <w:vAlign w:val="bottom"/>
            <w:hideMark/>
          </w:tcPr>
          <w:p w14:paraId="0D993A5D"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0.7%</w:t>
            </w:r>
          </w:p>
        </w:tc>
        <w:tc>
          <w:tcPr>
            <w:tcW w:w="2835" w:type="dxa"/>
            <w:shd w:val="clear" w:color="auto" w:fill="auto"/>
            <w:noWrap/>
            <w:vAlign w:val="bottom"/>
            <w:hideMark/>
          </w:tcPr>
          <w:p w14:paraId="4A60B8B5"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6,857</w:t>
            </w:r>
          </w:p>
        </w:tc>
      </w:tr>
      <w:tr w:rsidR="00D65C3B" w:rsidRPr="00D65C3B" w14:paraId="1D535CD4" w14:textId="77777777" w:rsidTr="004774AC">
        <w:trPr>
          <w:trHeight w:val="288"/>
        </w:trPr>
        <w:tc>
          <w:tcPr>
            <w:tcW w:w="440" w:type="dxa"/>
            <w:shd w:val="clear" w:color="auto" w:fill="auto"/>
            <w:noWrap/>
            <w:vAlign w:val="bottom"/>
            <w:hideMark/>
          </w:tcPr>
          <w:p w14:paraId="7E395C72"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25</w:t>
            </w:r>
          </w:p>
        </w:tc>
        <w:tc>
          <w:tcPr>
            <w:tcW w:w="1828" w:type="dxa"/>
            <w:shd w:val="clear" w:color="auto" w:fill="auto"/>
            <w:noWrap/>
            <w:vAlign w:val="bottom"/>
            <w:hideMark/>
          </w:tcPr>
          <w:p w14:paraId="799C874F"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 xml:space="preserve">Kujundžuša </w:t>
            </w:r>
          </w:p>
        </w:tc>
        <w:tc>
          <w:tcPr>
            <w:tcW w:w="2268" w:type="dxa"/>
            <w:shd w:val="clear" w:color="auto" w:fill="auto"/>
            <w:noWrap/>
            <w:vAlign w:val="bottom"/>
            <w:hideMark/>
          </w:tcPr>
          <w:p w14:paraId="04FFD252"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1.2</w:t>
            </w:r>
          </w:p>
        </w:tc>
        <w:tc>
          <w:tcPr>
            <w:tcW w:w="1701" w:type="dxa"/>
            <w:shd w:val="clear" w:color="auto" w:fill="auto"/>
            <w:noWrap/>
            <w:vAlign w:val="bottom"/>
            <w:hideMark/>
          </w:tcPr>
          <w:p w14:paraId="65344790"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0.6%</w:t>
            </w:r>
          </w:p>
        </w:tc>
        <w:tc>
          <w:tcPr>
            <w:tcW w:w="2835" w:type="dxa"/>
            <w:shd w:val="clear" w:color="auto" w:fill="auto"/>
            <w:noWrap/>
            <w:vAlign w:val="bottom"/>
            <w:hideMark/>
          </w:tcPr>
          <w:p w14:paraId="21AA4CDC"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5,786</w:t>
            </w:r>
          </w:p>
        </w:tc>
      </w:tr>
      <w:tr w:rsidR="00D65C3B" w:rsidRPr="00D65C3B" w14:paraId="14248D62" w14:textId="77777777" w:rsidTr="004774AC">
        <w:trPr>
          <w:trHeight w:val="288"/>
        </w:trPr>
        <w:tc>
          <w:tcPr>
            <w:tcW w:w="440" w:type="dxa"/>
            <w:shd w:val="clear" w:color="auto" w:fill="auto"/>
            <w:noWrap/>
            <w:vAlign w:val="bottom"/>
            <w:hideMark/>
          </w:tcPr>
          <w:p w14:paraId="221D00BE"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 </w:t>
            </w:r>
          </w:p>
        </w:tc>
        <w:tc>
          <w:tcPr>
            <w:tcW w:w="1828" w:type="dxa"/>
            <w:shd w:val="clear" w:color="auto" w:fill="auto"/>
            <w:noWrap/>
            <w:vAlign w:val="bottom"/>
            <w:hideMark/>
          </w:tcPr>
          <w:p w14:paraId="4DB236B0"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Ostale sorte</w:t>
            </w:r>
          </w:p>
        </w:tc>
        <w:tc>
          <w:tcPr>
            <w:tcW w:w="2268" w:type="dxa"/>
            <w:shd w:val="clear" w:color="auto" w:fill="auto"/>
            <w:noWrap/>
            <w:vAlign w:val="bottom"/>
            <w:hideMark/>
          </w:tcPr>
          <w:p w14:paraId="48E8EA95"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16.3</w:t>
            </w:r>
          </w:p>
        </w:tc>
        <w:tc>
          <w:tcPr>
            <w:tcW w:w="1701" w:type="dxa"/>
            <w:shd w:val="clear" w:color="auto" w:fill="auto"/>
            <w:noWrap/>
            <w:vAlign w:val="bottom"/>
            <w:hideMark/>
          </w:tcPr>
          <w:p w14:paraId="2A7C3E81"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8.0%</w:t>
            </w:r>
          </w:p>
        </w:tc>
        <w:tc>
          <w:tcPr>
            <w:tcW w:w="2835" w:type="dxa"/>
            <w:shd w:val="clear" w:color="auto" w:fill="auto"/>
            <w:noWrap/>
            <w:vAlign w:val="bottom"/>
            <w:hideMark/>
          </w:tcPr>
          <w:p w14:paraId="7B76B5AC" w14:textId="77777777" w:rsidR="00D65C3B" w:rsidRPr="00D65C3B" w:rsidRDefault="00D65C3B" w:rsidP="00D65C3B">
            <w:pPr>
              <w:jc w:val="right"/>
              <w:rPr>
                <w:rFonts w:ascii="Times New Roman" w:hAnsi="Times New Roman" w:cs="Times New Roman"/>
                <w:color w:val="auto"/>
                <w:sz w:val="22"/>
                <w:szCs w:val="22"/>
                <w:lang w:eastAsia="en-US"/>
              </w:rPr>
            </w:pPr>
            <w:r w:rsidRPr="00D65C3B">
              <w:rPr>
                <w:rFonts w:ascii="Times New Roman" w:hAnsi="Times New Roman" w:cs="Times New Roman"/>
                <w:color w:val="auto"/>
                <w:sz w:val="22"/>
                <w:szCs w:val="22"/>
                <w:lang w:eastAsia="en-US"/>
              </w:rPr>
              <w:t>81,277</w:t>
            </w:r>
          </w:p>
        </w:tc>
      </w:tr>
      <w:tr w:rsidR="00D65C3B" w:rsidRPr="00D65C3B" w14:paraId="62A29714" w14:textId="77777777" w:rsidTr="004774AC">
        <w:trPr>
          <w:trHeight w:val="288"/>
        </w:trPr>
        <w:tc>
          <w:tcPr>
            <w:tcW w:w="440" w:type="dxa"/>
            <w:shd w:val="clear" w:color="auto" w:fill="auto"/>
            <w:noWrap/>
            <w:vAlign w:val="bottom"/>
            <w:hideMark/>
          </w:tcPr>
          <w:p w14:paraId="5950B2DB" w14:textId="77777777" w:rsidR="00D65C3B" w:rsidRPr="00D65C3B" w:rsidRDefault="00D65C3B" w:rsidP="00D65C3B">
            <w:pPr>
              <w:jc w:val="right"/>
              <w:rPr>
                <w:rFonts w:ascii="Times New Roman" w:hAnsi="Times New Roman" w:cs="Times New Roman"/>
                <w:sz w:val="22"/>
                <w:szCs w:val="22"/>
                <w:lang w:eastAsia="en-US"/>
              </w:rPr>
            </w:pPr>
          </w:p>
        </w:tc>
        <w:tc>
          <w:tcPr>
            <w:tcW w:w="1828" w:type="dxa"/>
            <w:shd w:val="clear" w:color="auto" w:fill="auto"/>
            <w:noWrap/>
            <w:vAlign w:val="bottom"/>
            <w:hideMark/>
          </w:tcPr>
          <w:p w14:paraId="07EA55A0" w14:textId="77777777" w:rsidR="00D65C3B" w:rsidRPr="00D65C3B" w:rsidRDefault="00D65C3B" w:rsidP="00D65C3B">
            <w:pPr>
              <w:rPr>
                <w:rFonts w:ascii="Times New Roman" w:hAnsi="Times New Roman" w:cs="Times New Roman"/>
                <w:sz w:val="22"/>
                <w:szCs w:val="22"/>
                <w:lang w:eastAsia="en-US"/>
              </w:rPr>
            </w:pPr>
            <w:r w:rsidRPr="00D65C3B">
              <w:rPr>
                <w:rFonts w:ascii="Times New Roman" w:hAnsi="Times New Roman" w:cs="Times New Roman"/>
                <w:sz w:val="22"/>
                <w:szCs w:val="22"/>
                <w:lang w:eastAsia="en-US"/>
              </w:rPr>
              <w:t>Ukupno</w:t>
            </w:r>
          </w:p>
        </w:tc>
        <w:tc>
          <w:tcPr>
            <w:tcW w:w="2268" w:type="dxa"/>
            <w:shd w:val="clear" w:color="auto" w:fill="auto"/>
            <w:noWrap/>
            <w:vAlign w:val="bottom"/>
            <w:hideMark/>
          </w:tcPr>
          <w:p w14:paraId="43E39B57" w14:textId="77777777" w:rsidR="00D65C3B" w:rsidRPr="00D65C3B" w:rsidRDefault="00D65C3B" w:rsidP="00D65C3B">
            <w:pPr>
              <w:jc w:val="right"/>
              <w:rPr>
                <w:rFonts w:ascii="Times New Roman" w:hAnsi="Times New Roman" w:cs="Times New Roman"/>
                <w:sz w:val="22"/>
                <w:szCs w:val="22"/>
                <w:lang w:eastAsia="en-US"/>
              </w:rPr>
            </w:pPr>
            <w:r w:rsidRPr="00D65C3B">
              <w:rPr>
                <w:rFonts w:ascii="Times New Roman" w:hAnsi="Times New Roman" w:cs="Times New Roman"/>
                <w:sz w:val="22"/>
                <w:szCs w:val="22"/>
                <w:lang w:eastAsia="en-US"/>
              </w:rPr>
              <w:t>203.8</w:t>
            </w:r>
          </w:p>
        </w:tc>
        <w:tc>
          <w:tcPr>
            <w:tcW w:w="1701" w:type="dxa"/>
            <w:shd w:val="clear" w:color="auto" w:fill="auto"/>
            <w:noWrap/>
            <w:vAlign w:val="bottom"/>
            <w:hideMark/>
          </w:tcPr>
          <w:p w14:paraId="0DCB25A3" w14:textId="77777777" w:rsidR="00D65C3B" w:rsidRPr="00D65C3B" w:rsidRDefault="00D65C3B" w:rsidP="00D65C3B">
            <w:pPr>
              <w:jc w:val="right"/>
              <w:rPr>
                <w:rFonts w:ascii="Times New Roman" w:hAnsi="Times New Roman" w:cs="Times New Roman"/>
                <w:sz w:val="22"/>
                <w:szCs w:val="22"/>
                <w:lang w:eastAsia="en-US"/>
              </w:rPr>
            </w:pPr>
          </w:p>
        </w:tc>
        <w:tc>
          <w:tcPr>
            <w:tcW w:w="2835" w:type="dxa"/>
            <w:shd w:val="clear" w:color="auto" w:fill="auto"/>
            <w:noWrap/>
            <w:vAlign w:val="bottom"/>
            <w:hideMark/>
          </w:tcPr>
          <w:p w14:paraId="456F8733" w14:textId="77777777" w:rsidR="00D65C3B" w:rsidRPr="00D65C3B" w:rsidRDefault="00D65C3B" w:rsidP="00D65C3B">
            <w:pPr>
              <w:rPr>
                <w:rFonts w:ascii="Times New Roman" w:hAnsi="Times New Roman" w:cs="Times New Roman"/>
                <w:color w:val="auto"/>
                <w:sz w:val="20"/>
                <w:szCs w:val="20"/>
                <w:lang w:eastAsia="en-US"/>
              </w:rPr>
            </w:pPr>
          </w:p>
        </w:tc>
      </w:tr>
    </w:tbl>
    <w:p w14:paraId="128AB528" w14:textId="77777777" w:rsidR="00D65C3B" w:rsidRPr="00D65C3B" w:rsidRDefault="00D65C3B" w:rsidP="00D65C3B">
      <w:pPr>
        <w:spacing w:before="120" w:after="120" w:line="276" w:lineRule="auto"/>
        <w:contextualSpacing/>
        <w:jc w:val="both"/>
        <w:rPr>
          <w:rFonts w:ascii="Times New Roman" w:hAnsi="Times New Roman" w:cs="Times New Roman"/>
          <w:b/>
          <w:sz w:val="20"/>
          <w:szCs w:val="20"/>
          <w:lang w:eastAsia="en-US"/>
        </w:rPr>
      </w:pPr>
      <w:r w:rsidRPr="00D65C3B">
        <w:rPr>
          <w:rFonts w:ascii="Times New Roman" w:hAnsi="Times New Roman" w:cs="Times New Roman"/>
          <w:b/>
          <w:sz w:val="20"/>
          <w:szCs w:val="20"/>
          <w:lang w:eastAsia="en-US"/>
        </w:rPr>
        <w:t xml:space="preserve">Tablica 4. </w:t>
      </w:r>
      <w:bookmarkStart w:id="6" w:name="_Hlk167436553"/>
      <w:r w:rsidRPr="00D65C3B">
        <w:rPr>
          <w:rFonts w:ascii="Times New Roman" w:hAnsi="Times New Roman" w:cs="Times New Roman"/>
          <w:b/>
          <w:sz w:val="20"/>
          <w:szCs w:val="20"/>
          <w:lang w:eastAsia="en-US"/>
        </w:rPr>
        <w:t>Prosječna godišnja sadnja novih vinograda u razdoblju od 2015. do 2020. (Vinogradarski registar)</w:t>
      </w:r>
      <w:bookmarkEnd w:id="6"/>
    </w:p>
    <w:p w14:paraId="6E547FAB"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3AB2AF8B"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Temelj uspješne i isplative VV proizvodnje je osiguranje dovoljne količine kvalitetnog certificiranog sadnog materijala što pokazuju primjeri brojnih vinogradarskih zemalja. Trenutačno RH ima samo tri rasadnika predosnovnih i osnovnih matičnih nasada što nije dovoljno za osiguranje kvalitetnog i zdravog materijala loze. </w:t>
      </w:r>
    </w:p>
    <w:p w14:paraId="74053B0A"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07B6DCC8"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U skladu s navedenim neophodno je provoditi mjere kojima će se unaprijediti navedeno stanje, a posebno istraživanja kojima će se utvrditi mogućnosti povećanja broja predosnovnih i osnovnih matičnih nasada sorata i klonova koje su najvažnije u podizanju novih nasada odnosno u proizvodnji sadnog materijala pri čemu poseban naglasak treba staviti na autohtone sorte vinove loze. </w:t>
      </w:r>
    </w:p>
    <w:p w14:paraId="0D4098BC"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023020FE"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Isto tako neophodno je unaprijediti i poduprijeti znanstveno-istraživačke aktivnosti i resurse potrebne za održavanje uspostavljenih matičnih nasada najviših kategorija.</w:t>
      </w:r>
    </w:p>
    <w:p w14:paraId="0B6E68B3"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25B345E4" w14:textId="7A11F282" w:rsidR="00D65C3B" w:rsidRPr="00D65C3B" w:rsidRDefault="00A447B2" w:rsidP="00D65C3B">
      <w:pPr>
        <w:keepNext/>
        <w:keepLines/>
        <w:spacing w:before="120"/>
        <w:ind w:left="717" w:hanging="360"/>
        <w:jc w:val="both"/>
        <w:outlineLvl w:val="0"/>
        <w:rPr>
          <w:rFonts w:ascii="Times New Roman" w:eastAsiaTheme="majorEastAsia" w:hAnsi="Times New Roman" w:cstheme="majorBidi"/>
          <w:b/>
          <w:color w:val="auto"/>
          <w:szCs w:val="32"/>
          <w:lang w:eastAsia="en-US"/>
        </w:rPr>
      </w:pPr>
      <w:r>
        <w:rPr>
          <w:rFonts w:ascii="Times New Roman" w:eastAsiaTheme="majorEastAsia" w:hAnsi="Times New Roman" w:cstheme="majorBidi"/>
          <w:b/>
          <w:color w:val="auto"/>
          <w:szCs w:val="32"/>
          <w:lang w:eastAsia="en-US"/>
        </w:rPr>
        <w:t xml:space="preserve">2. </w:t>
      </w:r>
      <w:r w:rsidR="00D65C3B" w:rsidRPr="00D65C3B">
        <w:rPr>
          <w:rFonts w:ascii="Times New Roman" w:eastAsiaTheme="majorEastAsia" w:hAnsi="Times New Roman" w:cstheme="majorBidi"/>
          <w:b/>
          <w:color w:val="auto"/>
          <w:szCs w:val="32"/>
          <w:lang w:eastAsia="en-US"/>
        </w:rPr>
        <w:t>PRAVNA OSNOVA</w:t>
      </w:r>
    </w:p>
    <w:p w14:paraId="698D0266"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61A1F80E"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Program donosi se na temelju članka 39. Zakona o poljoprivredi („Narodne novine“ br. 118/18., 42/20., 127/20 — Odluka Ustavnog suda Republike Hrvatske, 52/21. i 152/22.), a provedba Programa se odvija u okviru sljedećih propisa:</w:t>
      </w:r>
    </w:p>
    <w:p w14:paraId="1DB60FF3"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6C8E8F1A" w14:textId="77777777" w:rsidR="00D65C3B" w:rsidRPr="00D65C3B" w:rsidRDefault="00D65C3B" w:rsidP="00D65C3B">
      <w:pPr>
        <w:numPr>
          <w:ilvl w:val="0"/>
          <w:numId w:val="1"/>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Zakonom o sjemenu, sadnom materijalu i priznavanju sorti poljoprivrednog bilja („Narodne novine“ br. 110/21.)</w:t>
      </w:r>
    </w:p>
    <w:p w14:paraId="3414D0A2" w14:textId="77777777" w:rsidR="00D65C3B" w:rsidRPr="00D65C3B" w:rsidRDefault="00D65C3B" w:rsidP="00D65C3B">
      <w:pPr>
        <w:numPr>
          <w:ilvl w:val="0"/>
          <w:numId w:val="1"/>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Zakonom o biljnom zdravstvu („Narodne novine“ br.127/19. i 83/22.)</w:t>
      </w:r>
    </w:p>
    <w:p w14:paraId="1D9497D1" w14:textId="77777777" w:rsidR="00D65C3B" w:rsidRPr="00D65C3B" w:rsidRDefault="00D65C3B" w:rsidP="00D65C3B">
      <w:pPr>
        <w:numPr>
          <w:ilvl w:val="0"/>
          <w:numId w:val="1"/>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Pravilnikom o stavljanju na tržište materijala za vegetativno umnažanje loze („Narodne novine“ br. 100/23) </w:t>
      </w:r>
    </w:p>
    <w:p w14:paraId="6890F2E8" w14:textId="77777777" w:rsidR="00D65C3B" w:rsidRPr="00D65C3B" w:rsidRDefault="00D65C3B" w:rsidP="00D65C3B">
      <w:pPr>
        <w:numPr>
          <w:ilvl w:val="0"/>
          <w:numId w:val="1"/>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Uredbom Komisije (EU) br. 2022/2742, (SL L 327/1, od 14. prosinca 2022.), o proglašenju određenih kategorija potpora u sektoru poljoprivrede i šumarstva te u ruralnim područjima spojivima s unutarnjim tržištem u primjeni članaka 107. i 108. Ugovora o funkcioniranju Europske unije</w:t>
      </w:r>
    </w:p>
    <w:p w14:paraId="1BC3A126" w14:textId="77777777" w:rsidR="00D65C3B" w:rsidRPr="00D65C3B" w:rsidRDefault="00D65C3B" w:rsidP="00D65C3B">
      <w:pPr>
        <w:numPr>
          <w:ilvl w:val="0"/>
          <w:numId w:val="1"/>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Provedbenom uredbom Komisije (EU) 2019/2072 оd 28. studenoga 2019. o utvrđivanju jedinstvenih uvjeta za provedbu Uredbe (EU) 2016/2031 Europskog parlamenta i Vijeća u pogledu zaštitnih mjera protiv organizama štetnih za bilje te o stavljanju izvan snage Uredbe Komisije (EZ) br. 690/2008 i izmjeni Provedbene uredbe Komisije (EU) 2018/2019 (SL L 319, 10.12.2019.)</w:t>
      </w:r>
    </w:p>
    <w:p w14:paraId="3B09F3BD" w14:textId="77777777" w:rsidR="00D65C3B" w:rsidRDefault="00D65C3B" w:rsidP="00D65C3B">
      <w:pPr>
        <w:numPr>
          <w:ilvl w:val="0"/>
          <w:numId w:val="1"/>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Uredbom (EU) 2016/2031 Europskog parlamenta i Vijeća od 26. listopada 2016. o zaštitnim mjerama protiv organizama štetnih za bilje i o izmjeni uredaba (EU) br. 228/2013, (EU) br. 652/2014 i (EU) br. 1143/2014 Europskog parlamenta i Vijeća te stavljanju izvan snage direktiva Vijeća 69/464/EEZ, 74/647/EEZ, 93/85/EEZ, 98/57/EZ, 2000/29/EZ, 2006/91/EZ i 2007/33/EZ (SL L 317, 23.11.2016.).</w:t>
      </w:r>
    </w:p>
    <w:p w14:paraId="57F9B01D" w14:textId="77777777" w:rsidR="00AE17B8" w:rsidRPr="00D65C3B" w:rsidRDefault="00AE17B8" w:rsidP="00AE17B8">
      <w:pPr>
        <w:spacing w:before="120" w:after="120" w:line="276" w:lineRule="auto"/>
        <w:ind w:left="720"/>
        <w:contextualSpacing/>
        <w:jc w:val="both"/>
        <w:rPr>
          <w:rFonts w:ascii="Times New Roman" w:hAnsi="Times New Roman" w:cs="Times New Roman"/>
          <w:lang w:eastAsia="en-US"/>
        </w:rPr>
      </w:pPr>
    </w:p>
    <w:p w14:paraId="1674BFEF" w14:textId="04E9C232" w:rsidR="00D65C3B" w:rsidRPr="00D65C3B" w:rsidRDefault="00A447B2" w:rsidP="00D65C3B">
      <w:pPr>
        <w:keepNext/>
        <w:keepLines/>
        <w:spacing w:before="120"/>
        <w:ind w:left="717" w:hanging="360"/>
        <w:jc w:val="both"/>
        <w:outlineLvl w:val="0"/>
        <w:rPr>
          <w:rFonts w:ascii="Times New Roman" w:eastAsiaTheme="majorEastAsia" w:hAnsi="Times New Roman" w:cstheme="majorBidi"/>
          <w:b/>
          <w:color w:val="auto"/>
          <w:szCs w:val="32"/>
        </w:rPr>
      </w:pPr>
      <w:bookmarkStart w:id="7" w:name="_Toc45878541"/>
      <w:r>
        <w:rPr>
          <w:rFonts w:ascii="Times New Roman" w:eastAsiaTheme="majorEastAsia" w:hAnsi="Times New Roman" w:cstheme="majorBidi"/>
          <w:b/>
          <w:color w:val="auto"/>
          <w:szCs w:val="32"/>
        </w:rPr>
        <w:t xml:space="preserve">3. </w:t>
      </w:r>
      <w:r w:rsidR="00D65C3B" w:rsidRPr="00D65C3B">
        <w:rPr>
          <w:rFonts w:ascii="Times New Roman" w:eastAsiaTheme="majorEastAsia" w:hAnsi="Times New Roman" w:cstheme="majorBidi"/>
          <w:b/>
          <w:color w:val="auto"/>
          <w:szCs w:val="32"/>
        </w:rPr>
        <w:t>CILJ PROGRAMA POTPORE ISTRAŽIVANJA USMJERENIH NA UNAPREĐENJE KVALITETE SADNOG MATERIJALA LOZE ZA RAZDOBLJE OD 2024. DO 2029. GODINE</w:t>
      </w:r>
    </w:p>
    <w:p w14:paraId="17F3E641" w14:textId="77777777" w:rsidR="00D65C3B" w:rsidRPr="00D65C3B" w:rsidRDefault="00D65C3B" w:rsidP="00D65C3B"/>
    <w:p w14:paraId="02D50876"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U RH trenutačno imamo samo tri rasadnika predosnovnih i osnovnih matičnih nasada i mali broj certificiranih matičnih nasada koji se odnose na svega nekoliko autohtonih sorata Škrlet, Moslavac, Kraljevina i Žlahtina i dr. te sortu Graševina. </w:t>
      </w:r>
    </w:p>
    <w:p w14:paraId="41B236DD"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6CEF8544" w14:textId="48F6FC51"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Uz ranije navedeni nedostatak domaće proizvodnje sadnog materijala pojedinih sorata potrebno je spomenuti kako se na temelju godišnjih izvješća o proizvodnji sadnog materijala Hrvatske agencije za poljoprivredu i hranu – Centra za sjemenarstvo i rasadničarstvo može vidjeti kako čak 50% sadnog materijala loze nije certificirano, tj. da se proizvodi 50% sadnog materijala kategorije standard. Navedeni odnos je stabilan u posljednjih pet promatranih godina što je prikazano na Grafu 1. </w:t>
      </w:r>
    </w:p>
    <w:p w14:paraId="3BD86F66"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793672E5" w14:textId="77777777" w:rsidR="00D65C3B" w:rsidRPr="00D65C3B" w:rsidRDefault="00D65C3B" w:rsidP="00D65C3B">
      <w:pPr>
        <w:spacing w:before="120" w:after="120" w:line="276" w:lineRule="auto"/>
        <w:contextualSpacing/>
        <w:jc w:val="center"/>
        <w:rPr>
          <w:rFonts w:ascii="Times New Roman" w:hAnsi="Times New Roman" w:cs="Times New Roman"/>
          <w:lang w:eastAsia="en-US"/>
        </w:rPr>
      </w:pPr>
      <w:r w:rsidRPr="00D65C3B">
        <w:rPr>
          <w:noProof/>
        </w:rPr>
        <w:drawing>
          <wp:inline distT="0" distB="0" distL="0" distR="0" wp14:anchorId="11F5E10A" wp14:editId="20C6E7B8">
            <wp:extent cx="5353050" cy="2743200"/>
            <wp:effectExtent l="0" t="0" r="0" b="0"/>
            <wp:docPr id="1117089070" name="Grafikon 1">
              <a:extLst xmlns:a="http://schemas.openxmlformats.org/drawingml/2006/main">
                <a:ext uri="{FF2B5EF4-FFF2-40B4-BE49-F238E27FC236}">
                  <a16:creationId xmlns:a16="http://schemas.microsoft.com/office/drawing/2014/main" id="{37445C81-1847-BBFD-79EF-AAD2BF29CB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8E2A909" w14:textId="77777777" w:rsidR="00D65C3B" w:rsidRPr="00D65C3B" w:rsidRDefault="00D65C3B" w:rsidP="00D65C3B">
      <w:pPr>
        <w:spacing w:before="120" w:after="120" w:line="276" w:lineRule="auto"/>
        <w:contextualSpacing/>
        <w:jc w:val="center"/>
        <w:rPr>
          <w:rFonts w:ascii="Times New Roman" w:hAnsi="Times New Roman" w:cs="Times New Roman"/>
          <w:b/>
          <w:sz w:val="20"/>
          <w:szCs w:val="20"/>
          <w:lang w:eastAsia="en-US"/>
        </w:rPr>
      </w:pPr>
      <w:r w:rsidRPr="00D65C3B">
        <w:rPr>
          <w:rFonts w:ascii="Times New Roman" w:hAnsi="Times New Roman" w:cs="Times New Roman"/>
          <w:b/>
          <w:sz w:val="20"/>
          <w:szCs w:val="20"/>
          <w:lang w:eastAsia="en-US"/>
        </w:rPr>
        <w:t xml:space="preserve">Graf 1 </w:t>
      </w:r>
      <w:bookmarkStart w:id="8" w:name="_Hlk167436674"/>
      <w:r w:rsidRPr="00D65C3B">
        <w:rPr>
          <w:rFonts w:ascii="Times New Roman" w:hAnsi="Times New Roman" w:cs="Times New Roman"/>
          <w:b/>
          <w:sz w:val="20"/>
          <w:szCs w:val="20"/>
          <w:lang w:eastAsia="en-US"/>
        </w:rPr>
        <w:t xml:space="preserve">Udio loznog sadnog materijala kategorije certificirani i standard u razdoblju od 2017.-2022. godine u ukupnoj proizvodnji sadnog materijala (izvor: HAPIH – CSR) </w:t>
      </w:r>
      <w:bookmarkEnd w:id="8"/>
    </w:p>
    <w:p w14:paraId="6A7BA332"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2430A8B5" w14:textId="6642E505"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Znatno nepovoljnija situacija je u dijelu proizvodnje sadnog materijala autohtonih sorata vinove loze pri čemu je kategorija certificiranog sadnog materijala zastupljena sa svega 14% (Graf 2.). </w:t>
      </w:r>
    </w:p>
    <w:p w14:paraId="79C4DEAC"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Navedeno stanje izrazito nepovoljno utječe na kvalitetu sadnog materijala, ali i na situaciju vezano uz fitosanitarni status vinograda u proizvodnji. </w:t>
      </w:r>
    </w:p>
    <w:p w14:paraId="109F7229"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Naime brojnim istraživanjima utvrđeno je kako je zastupljenost gospodarski štetnih virusa loze u proizvodnim nasadima na područje RH izuzetno visoka, posebno na području vinogradarskih regija Dalmacije te Istre i Kvarnera gdje se dominantno uzgajaju autohtone sorte kod kojih nije dostupan certificirani sadni materijal. </w:t>
      </w:r>
    </w:p>
    <w:p w14:paraId="4FEB442B"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Uz navedeno veliku opasnost prilikom korištenja standardnih matičnih nasada predstavlja i dodatno širenje fitoplazmi vinove loze. </w:t>
      </w:r>
    </w:p>
    <w:p w14:paraId="0FA30515"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7C06B9D6" w14:textId="77777777" w:rsidR="00D65C3B" w:rsidRPr="00D65C3B" w:rsidRDefault="00D65C3B" w:rsidP="00D65C3B">
      <w:pPr>
        <w:spacing w:before="120" w:after="120" w:line="276" w:lineRule="auto"/>
        <w:contextualSpacing/>
        <w:jc w:val="center"/>
        <w:rPr>
          <w:rFonts w:ascii="Times New Roman" w:hAnsi="Times New Roman" w:cs="Times New Roman"/>
          <w:lang w:eastAsia="en-US"/>
        </w:rPr>
      </w:pPr>
    </w:p>
    <w:p w14:paraId="29144453" w14:textId="77777777" w:rsidR="00D65C3B" w:rsidRPr="00D65C3B" w:rsidRDefault="00D65C3B" w:rsidP="00D65C3B">
      <w:pPr>
        <w:spacing w:before="120" w:after="120" w:line="276" w:lineRule="auto"/>
        <w:contextualSpacing/>
        <w:jc w:val="center"/>
        <w:rPr>
          <w:rFonts w:ascii="Times New Roman" w:hAnsi="Times New Roman" w:cs="Times New Roman"/>
          <w:lang w:eastAsia="en-US"/>
        </w:rPr>
      </w:pPr>
      <w:r w:rsidRPr="00D65C3B">
        <w:rPr>
          <w:noProof/>
        </w:rPr>
        <w:drawing>
          <wp:inline distT="0" distB="0" distL="0" distR="0" wp14:anchorId="09B44255" wp14:editId="63616B1A">
            <wp:extent cx="3962400" cy="1790700"/>
            <wp:effectExtent l="0" t="0" r="0" b="0"/>
            <wp:docPr id="574415484" name="Grafikon 1">
              <a:extLst xmlns:a="http://schemas.openxmlformats.org/drawingml/2006/main">
                <a:ext uri="{FF2B5EF4-FFF2-40B4-BE49-F238E27FC236}">
                  <a16:creationId xmlns:a16="http://schemas.microsoft.com/office/drawing/2014/main" id="{64F40149-71F7-DBDC-1FF9-65D8794171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8DE81E" w14:textId="77777777" w:rsidR="00D65C3B" w:rsidRPr="00D65C3B" w:rsidRDefault="00D65C3B" w:rsidP="00D65C3B">
      <w:pPr>
        <w:spacing w:before="120" w:after="120" w:line="276" w:lineRule="auto"/>
        <w:contextualSpacing/>
        <w:jc w:val="center"/>
        <w:rPr>
          <w:rFonts w:ascii="Times New Roman" w:hAnsi="Times New Roman" w:cs="Times New Roman"/>
          <w:b/>
          <w:sz w:val="20"/>
          <w:szCs w:val="20"/>
          <w:lang w:eastAsia="en-US"/>
        </w:rPr>
      </w:pPr>
      <w:r w:rsidRPr="00D65C3B">
        <w:rPr>
          <w:rFonts w:ascii="Times New Roman" w:hAnsi="Times New Roman" w:cs="Times New Roman"/>
          <w:b/>
          <w:sz w:val="20"/>
          <w:szCs w:val="20"/>
          <w:lang w:eastAsia="en-US"/>
        </w:rPr>
        <w:t xml:space="preserve">Graf 2 </w:t>
      </w:r>
      <w:bookmarkStart w:id="9" w:name="_Hlk167436731"/>
      <w:r w:rsidRPr="00D65C3B">
        <w:rPr>
          <w:rFonts w:ascii="Times New Roman" w:hAnsi="Times New Roman" w:cs="Times New Roman"/>
          <w:b/>
          <w:sz w:val="20"/>
          <w:szCs w:val="20"/>
          <w:lang w:eastAsia="en-US"/>
        </w:rPr>
        <w:t>Udio loznog sadnog materijala kategorije certificirani i standard u 2022. godini u autohtonih sorata (izvor: HAPIH-CSR)</w:t>
      </w:r>
      <w:bookmarkEnd w:id="9"/>
    </w:p>
    <w:p w14:paraId="240E70B6"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5906B73B"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Slijedom navedenog može se zaključiti kako je struktura kategorija sadnog materijala loze koji se proizvodi u RH izrazito nepovoljna što uzrokuje niz negativnih posljedica posebno kod autohtonih sorata vinove loze. S obzirom da je u brojnim dosadašnjim istraživanjima i projektima te uspješnim primjerima iz proizvodnje potvrđeno kako autohtone sorte imaju izuzetno veliki značaj za vinogradarstvo RH, kao i da će se u budućim mjerama poticanja podizanja novih nasada posebno poticati njihov uzgoj, bez dostupnosti kvalitetnog sadnog materijala izostat će puni efekt navedenih mjera kao i nemogućnost potpunog iskorištenja kvalitativnog potencijala ovih sorata. </w:t>
      </w:r>
    </w:p>
    <w:p w14:paraId="71B0265A"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0DBC3552"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Rasadničarska proizvodnja u RH nema mogućnost samostalno unaprijediti postojeće stanje tj. ovisi o mjerama koje će poduzeti Vlada RH kako bi osigurala dostupnost osnovnog sadnog materijala navedenih sorata za podizanje certificiranih matičnih nasada. Ujedno zbog visoke cijene certificirane plemke klonova internacionalnih sorata iz drugih zemalja, kao i visokih troškova ili često nedostupnosti osnovne kategorije za podizanje certificiranih matičnih nasada, hrvatski rasadničari nisu konkurentni u odnosu na velike rasadničarske kuće iz EU zemalja, prvenstveno Italije i Francuske. </w:t>
      </w:r>
    </w:p>
    <w:p w14:paraId="0856508D"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725CE8D1" w14:textId="7CFA0EE3" w:rsidR="00D65C3B" w:rsidRPr="00D65C3B" w:rsidRDefault="008B74DD" w:rsidP="00D65C3B">
      <w:pPr>
        <w:spacing w:before="120" w:after="120" w:line="276" w:lineRule="auto"/>
        <w:contextualSpacing/>
        <w:jc w:val="both"/>
        <w:rPr>
          <w:rFonts w:ascii="Times New Roman" w:hAnsi="Times New Roman" w:cs="Times New Roman"/>
          <w:lang w:eastAsia="en-US"/>
        </w:rPr>
      </w:pPr>
      <w:r w:rsidRPr="00850BBB">
        <w:rPr>
          <w:rFonts w:ascii="Times New Roman" w:hAnsi="Times New Roman" w:cs="Times New Roman"/>
          <w:lang w:eastAsia="en-US"/>
        </w:rPr>
        <w:t xml:space="preserve">Negativan utjecaj ovakvog stanja je i pogoršanje fitosanitarnog statusa u obliku širenja fitoplazme (zlatna žutica) i pojave novih viroza u proizvodnim nasadima, posebno kod autohtonih sorata. </w:t>
      </w:r>
      <w:r w:rsidR="00D65C3B" w:rsidRPr="00850BBB">
        <w:rPr>
          <w:rFonts w:ascii="Times New Roman" w:hAnsi="Times New Roman" w:cs="Times New Roman"/>
          <w:lang w:eastAsia="en-US"/>
        </w:rPr>
        <w:t>Osnivanjem matičnih nasada za predosnovni i osnovni sadni materijal loze omogućila bi se sadnja kvalitetnog i zdravog sadnog materijala i na taj način smanjio intenzitet širenja fitoplazmi i zaraza novim tipovima virusa.</w:t>
      </w:r>
    </w:p>
    <w:p w14:paraId="715C9195"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074A047B"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Program potpore istraživanja usmjerenih na unaprjeđenje kvalitete sadnog materijala loze za razdoblje od 2024. do 2029. godine (u daljnjem tekstu Program) ima slijedeće ciljeve: </w:t>
      </w:r>
    </w:p>
    <w:p w14:paraId="3D9AA632" w14:textId="77777777" w:rsidR="00D65C3B" w:rsidRPr="00D65C3B" w:rsidRDefault="00D65C3B" w:rsidP="00D65C3B">
      <w:pPr>
        <w:numPr>
          <w:ilvl w:val="0"/>
          <w:numId w:val="7"/>
        </w:numPr>
        <w:spacing w:line="276" w:lineRule="auto"/>
        <w:ind w:left="714" w:hanging="357"/>
        <w:contextualSpacing/>
        <w:jc w:val="both"/>
        <w:rPr>
          <w:rFonts w:ascii="Times New Roman" w:hAnsi="Times New Roman" w:cs="Times New Roman"/>
          <w:lang w:eastAsia="en-US"/>
        </w:rPr>
      </w:pPr>
      <w:r w:rsidRPr="00D65C3B">
        <w:rPr>
          <w:rFonts w:ascii="Times New Roman" w:hAnsi="Times New Roman" w:cs="Times New Roman"/>
          <w:lang w:eastAsia="en-US"/>
        </w:rPr>
        <w:t xml:space="preserve">Sustavno praćenje proizvodnih karakteristika do sada izdvojenih i registriranih hrvatskih klonova pojedinih sorata čime bi se pratilo njihov proizvodno potencijal </w:t>
      </w:r>
    </w:p>
    <w:p w14:paraId="70E698E3" w14:textId="77777777" w:rsidR="00D65C3B" w:rsidRPr="00D65C3B" w:rsidRDefault="00D65C3B" w:rsidP="00D65C3B">
      <w:pPr>
        <w:numPr>
          <w:ilvl w:val="0"/>
          <w:numId w:val="7"/>
        </w:numPr>
        <w:spacing w:line="276" w:lineRule="auto"/>
        <w:ind w:left="714" w:hanging="357"/>
        <w:contextualSpacing/>
        <w:jc w:val="both"/>
        <w:rPr>
          <w:rFonts w:ascii="Times New Roman" w:hAnsi="Times New Roman" w:cs="Times New Roman"/>
          <w:lang w:eastAsia="en-US"/>
        </w:rPr>
      </w:pPr>
      <w:r w:rsidRPr="00D65C3B">
        <w:rPr>
          <w:rFonts w:ascii="Times New Roman" w:hAnsi="Times New Roman" w:cs="Times New Roman"/>
          <w:lang w:eastAsia="en-US"/>
        </w:rPr>
        <w:t xml:space="preserve">Praćenje fitosanitarnog statusa matičnih nasada kategorija predosnovni i osnovni usmjerenih na gospodarski štetne viruse i fitoplazmoze te pojave novih virusa.  </w:t>
      </w:r>
    </w:p>
    <w:p w14:paraId="59843CAA" w14:textId="77777777" w:rsidR="00D65C3B" w:rsidRPr="00D65C3B" w:rsidRDefault="00D65C3B" w:rsidP="00D65C3B">
      <w:pPr>
        <w:numPr>
          <w:ilvl w:val="0"/>
          <w:numId w:val="7"/>
        </w:numPr>
        <w:spacing w:line="276" w:lineRule="auto"/>
        <w:ind w:left="714" w:hanging="357"/>
        <w:contextualSpacing/>
        <w:jc w:val="both"/>
        <w:rPr>
          <w:rFonts w:ascii="Times New Roman" w:hAnsi="Times New Roman" w:cs="Times New Roman"/>
          <w:lang w:eastAsia="en-US"/>
        </w:rPr>
      </w:pPr>
      <w:r w:rsidRPr="00D65C3B">
        <w:rPr>
          <w:rFonts w:ascii="Times New Roman" w:hAnsi="Times New Roman" w:cs="Times New Roman"/>
          <w:lang w:eastAsia="en-US"/>
        </w:rPr>
        <w:t xml:space="preserve">Utvrđivanje firosanitarnog statusa i razinu unutarsortne varijabilnosti u proizvodnim nasadima kod sorata koje su važne u vinogradarskoj proizvodnji, a za koje na području RH do sada nisu provođeni postupci fitosanitarne i klonske selekcije s ciljem utvrđivanja potreba za provedbu klonske selekcije i uspostave matičnih nasada najviših kategorija za predmetne sorte na području RH.  </w:t>
      </w:r>
    </w:p>
    <w:p w14:paraId="41183DDE"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5A0A4E01"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Korisnici Programa provodit će istraživanja vezano za utvrđivanje proizvodnih karakteristika registriranih klonova u proizvodnim uvjetima te pripremati izvješća za stručne skupove i sajmove s ciljem upoznavanja proizvođača o prednostima korištenja navedenih klonova i certificiranog sadnog materijala u odnosu na standardni sadni materijal. Uz navedeno istraživat će se pojavnost osnovnih gospodarski štetnih virusa (</w:t>
      </w:r>
      <w:r w:rsidRPr="00D65C3B">
        <w:rPr>
          <w:rFonts w:ascii="Times New Roman" w:hAnsi="Times New Roman" w:cs="Times New Roman"/>
          <w:i/>
          <w:iCs/>
          <w:lang w:eastAsia="en-US"/>
        </w:rPr>
        <w:t>Grapevine fanleaf nepovirus, Arabis mosaic nepovirus, Grapevine leafroll associated closterovirus -1 i Grapevine leafroll associated closteroviruses -3</w:t>
      </w:r>
      <w:r w:rsidRPr="00D65C3B">
        <w:rPr>
          <w:rFonts w:ascii="Times New Roman" w:hAnsi="Times New Roman" w:cs="Times New Roman"/>
          <w:lang w:eastAsia="en-US"/>
        </w:rPr>
        <w:t>), novih virusa za koje se smatra kako mogu imati negativan utjecaj na gospodarske karakteristike klonova. Ujedno će se provoditi istraživanja pojave zlatne žutice vinove loze (</w:t>
      </w:r>
      <w:r w:rsidRPr="00D65C3B">
        <w:rPr>
          <w:rFonts w:ascii="Times New Roman" w:hAnsi="Times New Roman" w:cs="Times New Roman"/>
          <w:i/>
          <w:iCs/>
          <w:lang w:eastAsia="en-US"/>
        </w:rPr>
        <w:t>Flavescence dorée</w:t>
      </w:r>
      <w:r w:rsidRPr="00D65C3B">
        <w:rPr>
          <w:rFonts w:ascii="Times New Roman" w:hAnsi="Times New Roman" w:cs="Times New Roman"/>
          <w:lang w:eastAsia="en-US"/>
        </w:rPr>
        <w:t xml:space="preserve">). </w:t>
      </w:r>
    </w:p>
    <w:p w14:paraId="585F6CD4"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5FDEF381"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U odnosu na postojeće registrirane klonove i istraživanja usmjerena na održavanje visoke razine kvalitete i fitosanitarnog statusa visokih kategorija matičnih nasada predmetnih klonova istraživanja će se usmjeriti i na sorte kod kojih do sada u RH nije bilo sustavnog provođenja klonske selekcije što se odnosi i na autohtone sorte Malvazija istarska, ali i najvažnije introducirane sorte Merlot, Rajnski rizling, Sauvignon bijeli i slične sorte. Kod navedenih sorata provest će se istraživanja kojima će se utvrditi fitosanitarni status i unutarsortna varijabilnost na temelju čega će se utvrditi potreba o provođenju postupka individualne klonske selekcije navedenih sorata. </w:t>
      </w:r>
    </w:p>
    <w:p w14:paraId="07308AB0" w14:textId="77777777" w:rsidR="00D65C3B" w:rsidRPr="00D65C3B" w:rsidRDefault="00D65C3B" w:rsidP="00D65C3B">
      <w:pPr>
        <w:spacing w:before="120" w:after="120" w:line="23" w:lineRule="atLeast"/>
        <w:contextualSpacing/>
        <w:jc w:val="both"/>
        <w:rPr>
          <w:rFonts w:ascii="Times New Roman" w:hAnsi="Times New Roman" w:cs="Times New Roman"/>
          <w:lang w:eastAsia="en-US"/>
        </w:rPr>
      </w:pPr>
    </w:p>
    <w:p w14:paraId="6C4527D9" w14:textId="026AAF24" w:rsidR="00D65C3B" w:rsidRPr="00D65C3B" w:rsidRDefault="00A447B2" w:rsidP="00D65C3B">
      <w:pPr>
        <w:keepNext/>
        <w:keepLines/>
        <w:spacing w:before="120"/>
        <w:ind w:left="717" w:hanging="360"/>
        <w:jc w:val="both"/>
        <w:outlineLvl w:val="0"/>
        <w:rPr>
          <w:rFonts w:ascii="Times New Roman" w:eastAsiaTheme="majorEastAsia" w:hAnsi="Times New Roman" w:cstheme="majorBidi"/>
          <w:b/>
          <w:color w:val="auto"/>
          <w:szCs w:val="32"/>
        </w:rPr>
      </w:pPr>
      <w:r>
        <w:rPr>
          <w:rFonts w:ascii="Times New Roman" w:eastAsiaTheme="majorEastAsia" w:hAnsi="Times New Roman" w:cstheme="majorBidi"/>
          <w:b/>
          <w:color w:val="auto"/>
          <w:szCs w:val="32"/>
        </w:rPr>
        <w:t xml:space="preserve">4. </w:t>
      </w:r>
      <w:r w:rsidR="00D65C3B" w:rsidRPr="00D65C3B">
        <w:rPr>
          <w:rFonts w:ascii="Times New Roman" w:eastAsiaTheme="majorEastAsia" w:hAnsi="Times New Roman" w:cstheme="majorBidi"/>
          <w:b/>
          <w:color w:val="auto"/>
          <w:szCs w:val="32"/>
        </w:rPr>
        <w:t xml:space="preserve">PRIHVATLJIVI KORISNICI </w:t>
      </w:r>
    </w:p>
    <w:p w14:paraId="3416AC97" w14:textId="77777777" w:rsidR="00D65C3B" w:rsidRPr="00D65C3B" w:rsidRDefault="00D65C3B" w:rsidP="00D65C3B">
      <w:pPr>
        <w:spacing w:before="120" w:after="120" w:line="23" w:lineRule="atLeast"/>
        <w:contextualSpacing/>
        <w:jc w:val="both"/>
        <w:rPr>
          <w:rFonts w:ascii="Times New Roman" w:hAnsi="Times New Roman" w:cs="Times New Roman"/>
          <w:lang w:eastAsia="en-US"/>
        </w:rPr>
      </w:pPr>
    </w:p>
    <w:p w14:paraId="64E7E0F7" w14:textId="611CC092" w:rsidR="00D65C3B" w:rsidRPr="00D65C3B" w:rsidRDefault="00D65C3B" w:rsidP="00D65C3B">
      <w:pPr>
        <w:spacing w:before="120" w:after="120" w:line="276" w:lineRule="auto"/>
        <w:contextualSpacing/>
        <w:jc w:val="both"/>
        <w:rPr>
          <w:rFonts w:ascii="Times New Roman" w:hAnsi="Times New Roman" w:cs="Times New Roman"/>
          <w:lang w:eastAsia="en-US"/>
        </w:rPr>
      </w:pPr>
      <w:r w:rsidRPr="00850BBB">
        <w:rPr>
          <w:rFonts w:ascii="Times New Roman" w:hAnsi="Times New Roman" w:cs="Times New Roman"/>
          <w:lang w:eastAsia="en-US"/>
        </w:rPr>
        <w:t xml:space="preserve">Prihvatljivi korisnici Programa su znanstvene institucije (u daljnjem tekstu: Korisnik) iz sustava znanstvene djelatnosti, odnosno ustanove upisane u </w:t>
      </w:r>
      <w:r w:rsidR="008B74DD" w:rsidRPr="00850BBB">
        <w:rPr>
          <w:rFonts w:ascii="Times New Roman" w:hAnsi="Times New Roman" w:cs="Times New Roman"/>
          <w:lang w:eastAsia="en-US"/>
        </w:rPr>
        <w:t xml:space="preserve">Upisnik visokih učilišta („Narodne novine" br. 56/23), javno znanstveni instituti osnovani sukladno Zakonu o visokom obrazovanju i znanstvenoj djelatnosti („Narodne novine" br. 119/22), upisani u Upisnik dobavljača poljoprivrednog sadnog materijala sukladno Pravilniku o upisu u Upisnike dobavljača, laboratorija i uzorkivača poljoprivrednog sjemena i sadnog materijala (»Narodne novine« br. 8/22 i 8/23) i  </w:t>
      </w:r>
      <w:r w:rsidR="004E06C4" w:rsidRPr="00850BBB">
        <w:rPr>
          <w:rFonts w:ascii="Times New Roman" w:hAnsi="Times New Roman" w:cs="Times New Roman"/>
          <w:lang w:eastAsia="en-US"/>
        </w:rPr>
        <w:t xml:space="preserve">upisani </w:t>
      </w:r>
      <w:r w:rsidR="008B74DD" w:rsidRPr="00850BBB">
        <w:rPr>
          <w:rFonts w:ascii="Times New Roman" w:hAnsi="Times New Roman" w:cs="Times New Roman"/>
          <w:lang w:eastAsia="en-US"/>
        </w:rPr>
        <w:t>u Službeni registar specijaliziranih subjekata sukladno Pravilniku o Službenom registru specijaliziranih subjekata (»Narodne novine« br. 30/21)</w:t>
      </w:r>
      <w:r w:rsidRPr="00850BBB">
        <w:rPr>
          <w:rFonts w:ascii="Times New Roman" w:hAnsi="Times New Roman" w:cs="Times New Roman"/>
          <w:lang w:eastAsia="en-US"/>
        </w:rPr>
        <w:t xml:space="preserve"> te ispunjavanju sljedeće uvjete:</w:t>
      </w:r>
      <w:r w:rsidRPr="00D65C3B">
        <w:rPr>
          <w:rFonts w:ascii="Times New Roman" w:hAnsi="Times New Roman" w:cs="Times New Roman"/>
          <w:lang w:eastAsia="en-US"/>
        </w:rPr>
        <w:t xml:space="preserve"> </w:t>
      </w:r>
    </w:p>
    <w:p w14:paraId="2EAE41D7" w14:textId="77777777" w:rsidR="00D65C3B" w:rsidRPr="00D65C3B" w:rsidRDefault="00D65C3B" w:rsidP="00D65C3B">
      <w:pPr>
        <w:numPr>
          <w:ilvl w:val="0"/>
          <w:numId w:val="3"/>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podnesu Zahtjev za financiranje istraživanja usmjerenih na unapređenje kvalitete sadnog materijala loze (u nastavku teksta: Zahtjev) po objavljenom Javnom pozivu </w:t>
      </w:r>
    </w:p>
    <w:p w14:paraId="6E20B456" w14:textId="58A4C245" w:rsidR="00D65C3B" w:rsidRPr="00D65C3B" w:rsidRDefault="00D65C3B" w:rsidP="00D65C3B">
      <w:pPr>
        <w:numPr>
          <w:ilvl w:val="0"/>
          <w:numId w:val="3"/>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podnesu dokaz o postojećoj odgovarajućoj infrastrukturi i matičnim nasadima visokih kategorija na području RH </w:t>
      </w:r>
    </w:p>
    <w:p w14:paraId="77B34245" w14:textId="77777777" w:rsidR="00D65C3B" w:rsidRPr="00D65C3B" w:rsidRDefault="00D65C3B" w:rsidP="00D65C3B">
      <w:pPr>
        <w:numPr>
          <w:ilvl w:val="0"/>
          <w:numId w:val="3"/>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u Upisniku dobavljača sadnog materijala registrirane za djelatnosti proizvodnje poljoprivrednog sadnog materijala</w:t>
      </w:r>
    </w:p>
    <w:p w14:paraId="33025B29" w14:textId="77777777" w:rsidR="00D65C3B" w:rsidRPr="00D65C3B" w:rsidRDefault="00D65C3B" w:rsidP="00D65C3B">
      <w:pPr>
        <w:numPr>
          <w:ilvl w:val="0"/>
          <w:numId w:val="3"/>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ovlašteni za izdavanje biljnih putovnica u skladu s Pravilnikom o Službenom registru specijaliziranih subjekata </w:t>
      </w:r>
    </w:p>
    <w:p w14:paraId="7C7004BD" w14:textId="77777777" w:rsidR="00D65C3B" w:rsidRPr="00D65C3B" w:rsidRDefault="00D65C3B" w:rsidP="00D65C3B">
      <w:pPr>
        <w:numPr>
          <w:ilvl w:val="0"/>
          <w:numId w:val="3"/>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nemaju nereguliranih dugovanja s osnova javnih davanja </w:t>
      </w:r>
    </w:p>
    <w:p w14:paraId="7072C67C" w14:textId="77777777" w:rsidR="00D65C3B" w:rsidRPr="00D65C3B" w:rsidRDefault="00D65C3B" w:rsidP="00D65C3B">
      <w:pPr>
        <w:numPr>
          <w:ilvl w:val="0"/>
          <w:numId w:val="3"/>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dostave drugu obveznu dokumentaciju sukladno uvjetima Javnog poziva. </w:t>
      </w:r>
    </w:p>
    <w:p w14:paraId="7E357EC0" w14:textId="77777777" w:rsidR="00D65C3B" w:rsidRPr="00D65C3B" w:rsidRDefault="00D65C3B" w:rsidP="00D65C3B">
      <w:pPr>
        <w:spacing w:before="120" w:after="120" w:line="23" w:lineRule="atLeast"/>
        <w:ind w:left="720"/>
        <w:contextualSpacing/>
        <w:jc w:val="both"/>
        <w:rPr>
          <w:rFonts w:ascii="Times New Roman" w:hAnsi="Times New Roman" w:cs="Times New Roman"/>
          <w:lang w:eastAsia="en-US"/>
        </w:rPr>
      </w:pPr>
    </w:p>
    <w:p w14:paraId="654C87C1" w14:textId="31154BD2" w:rsidR="00D65C3B" w:rsidRPr="00D65C3B" w:rsidRDefault="00A447B2" w:rsidP="00D65C3B">
      <w:pPr>
        <w:keepNext/>
        <w:keepLines/>
        <w:spacing w:before="120"/>
        <w:ind w:left="717" w:hanging="360"/>
        <w:jc w:val="both"/>
        <w:outlineLvl w:val="0"/>
        <w:rPr>
          <w:rFonts w:ascii="Times New Roman" w:eastAsiaTheme="majorEastAsia" w:hAnsi="Times New Roman" w:cstheme="majorBidi"/>
          <w:b/>
          <w:color w:val="auto"/>
          <w:szCs w:val="32"/>
        </w:rPr>
      </w:pPr>
      <w:r>
        <w:rPr>
          <w:rFonts w:ascii="Times New Roman" w:eastAsiaTheme="majorEastAsia" w:hAnsi="Times New Roman" w:cstheme="majorBidi"/>
          <w:b/>
          <w:color w:val="auto"/>
          <w:szCs w:val="32"/>
        </w:rPr>
        <w:t xml:space="preserve">5. </w:t>
      </w:r>
      <w:r w:rsidR="00D65C3B" w:rsidRPr="00D65C3B">
        <w:rPr>
          <w:rFonts w:ascii="Times New Roman" w:eastAsiaTheme="majorEastAsia" w:hAnsi="Times New Roman" w:cstheme="majorBidi"/>
          <w:b/>
          <w:color w:val="auto"/>
          <w:szCs w:val="32"/>
        </w:rPr>
        <w:t>PRORAČUN ZA PROVEDBU PROGRAMA I FINANCIRANJE</w:t>
      </w:r>
    </w:p>
    <w:p w14:paraId="4400E8A1" w14:textId="77777777" w:rsidR="00D65C3B" w:rsidRPr="00D65C3B" w:rsidRDefault="00D65C3B" w:rsidP="00D65C3B">
      <w:pPr>
        <w:spacing w:line="23" w:lineRule="atLeast"/>
        <w:jc w:val="both"/>
        <w:rPr>
          <w:rFonts w:ascii="Times New Roman" w:hAnsi="Times New Roman" w:cs="Times New Roman"/>
          <w:b/>
          <w:highlight w:val="yellow"/>
        </w:rPr>
      </w:pPr>
    </w:p>
    <w:p w14:paraId="71E94971"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Sredstva za provedbu ovoga Programa planirana su u Državnom proračunu RH za 2024. godinu u iznosu od 50.000,00 eura i u projekcijama za 2025. i 2026. godinu, unutar Financijskog plana Ministarstva poljoprivrede, šumarstva i ribarstva (u daljnjem tekstu: Ministarstva) na poziciji A568007 – Zdravstvena zaštita bilja. </w:t>
      </w:r>
    </w:p>
    <w:p w14:paraId="1DB375E7" w14:textId="43BDB89E" w:rsidR="00D65C3B" w:rsidRPr="00D65C3B" w:rsidRDefault="00D65C3B" w:rsidP="00D65C3B">
      <w:pPr>
        <w:spacing w:before="120" w:after="120" w:line="276" w:lineRule="auto"/>
        <w:jc w:val="both"/>
        <w:rPr>
          <w:rFonts w:ascii="Times New Roman" w:eastAsia="Calibri" w:hAnsi="Times New Roman" w:cs="Times New Roman"/>
          <w:bCs/>
          <w:i/>
          <w:iCs/>
          <w:color w:val="auto"/>
          <w:sz w:val="20"/>
          <w:szCs w:val="20"/>
          <w:lang w:eastAsia="en-US"/>
        </w:rPr>
      </w:pPr>
      <w:r w:rsidRPr="00D65C3B">
        <w:rPr>
          <w:rFonts w:ascii="Times New Roman" w:hAnsi="Times New Roman" w:cs="Times New Roman"/>
          <w:color w:val="auto"/>
        </w:rPr>
        <w:t>Ukupna sredstava potrebna za provedbu Programa za šestogodišnje razdoblje iznose 300.000,00 eura,  sukladno Planu financiranja prikazanom u Tablici 5.</w:t>
      </w:r>
    </w:p>
    <w:tbl>
      <w:tblPr>
        <w:tblW w:w="9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1188"/>
        <w:gridCol w:w="1131"/>
        <w:gridCol w:w="1009"/>
        <w:gridCol w:w="1009"/>
        <w:gridCol w:w="1009"/>
        <w:gridCol w:w="1009"/>
        <w:gridCol w:w="1109"/>
      </w:tblGrid>
      <w:tr w:rsidR="00D65C3B" w:rsidRPr="00D65C3B" w14:paraId="1193088B" w14:textId="77777777" w:rsidTr="004774AC">
        <w:trPr>
          <w:trHeight w:val="254"/>
          <w:jc w:val="center"/>
        </w:trPr>
        <w:tc>
          <w:tcPr>
            <w:tcW w:w="1983" w:type="dxa"/>
            <w:shd w:val="clear" w:color="auto" w:fill="auto"/>
            <w:noWrap/>
            <w:vAlign w:val="center"/>
            <w:hideMark/>
          </w:tcPr>
          <w:p w14:paraId="08BEF085" w14:textId="77777777" w:rsidR="00D65C3B" w:rsidRPr="00D65C3B" w:rsidRDefault="00D65C3B" w:rsidP="00D65C3B">
            <w:pPr>
              <w:jc w:val="center"/>
              <w:rPr>
                <w:rFonts w:ascii="Times New Roman" w:hAnsi="Times New Roman" w:cs="Times New Roman"/>
                <w:b/>
                <w:sz w:val="18"/>
                <w:szCs w:val="18"/>
              </w:rPr>
            </w:pPr>
            <w:r w:rsidRPr="00D65C3B">
              <w:rPr>
                <w:rFonts w:ascii="Times New Roman" w:hAnsi="Times New Roman" w:cs="Times New Roman"/>
                <w:b/>
                <w:sz w:val="18"/>
                <w:szCs w:val="18"/>
              </w:rPr>
              <w:t>Programska godina</w:t>
            </w:r>
          </w:p>
        </w:tc>
        <w:tc>
          <w:tcPr>
            <w:tcW w:w="1188" w:type="dxa"/>
            <w:shd w:val="clear" w:color="auto" w:fill="auto"/>
            <w:noWrap/>
            <w:vAlign w:val="center"/>
            <w:hideMark/>
          </w:tcPr>
          <w:p w14:paraId="201DCA60" w14:textId="77777777" w:rsidR="00D65C3B" w:rsidRPr="00D65C3B" w:rsidRDefault="00D65C3B" w:rsidP="00D65C3B">
            <w:pPr>
              <w:jc w:val="center"/>
              <w:rPr>
                <w:rFonts w:ascii="Times New Roman" w:hAnsi="Times New Roman" w:cs="Times New Roman"/>
                <w:b/>
                <w:sz w:val="18"/>
                <w:szCs w:val="18"/>
              </w:rPr>
            </w:pPr>
            <w:r w:rsidRPr="00D65C3B">
              <w:rPr>
                <w:rFonts w:ascii="Times New Roman" w:hAnsi="Times New Roman" w:cs="Times New Roman"/>
                <w:b/>
                <w:sz w:val="18"/>
                <w:szCs w:val="18"/>
              </w:rPr>
              <w:t>2024.</w:t>
            </w:r>
          </w:p>
        </w:tc>
        <w:tc>
          <w:tcPr>
            <w:tcW w:w="1131" w:type="dxa"/>
            <w:shd w:val="clear" w:color="auto" w:fill="auto"/>
            <w:noWrap/>
            <w:vAlign w:val="center"/>
            <w:hideMark/>
          </w:tcPr>
          <w:p w14:paraId="31E99739" w14:textId="77777777" w:rsidR="00D65C3B" w:rsidRPr="00D65C3B" w:rsidRDefault="00D65C3B" w:rsidP="00D65C3B">
            <w:pPr>
              <w:jc w:val="center"/>
              <w:rPr>
                <w:rFonts w:ascii="Times New Roman" w:hAnsi="Times New Roman" w:cs="Times New Roman"/>
                <w:b/>
                <w:sz w:val="18"/>
                <w:szCs w:val="18"/>
              </w:rPr>
            </w:pPr>
            <w:r w:rsidRPr="00D65C3B">
              <w:rPr>
                <w:rFonts w:ascii="Times New Roman" w:hAnsi="Times New Roman" w:cs="Times New Roman"/>
                <w:b/>
                <w:sz w:val="18"/>
                <w:szCs w:val="18"/>
              </w:rPr>
              <w:t>2025.</w:t>
            </w:r>
          </w:p>
        </w:tc>
        <w:tc>
          <w:tcPr>
            <w:tcW w:w="1009" w:type="dxa"/>
            <w:shd w:val="clear" w:color="auto" w:fill="auto"/>
            <w:noWrap/>
            <w:vAlign w:val="center"/>
            <w:hideMark/>
          </w:tcPr>
          <w:p w14:paraId="695B3115" w14:textId="77777777" w:rsidR="00D65C3B" w:rsidRPr="00D65C3B" w:rsidRDefault="00D65C3B" w:rsidP="00D65C3B">
            <w:pPr>
              <w:jc w:val="center"/>
              <w:rPr>
                <w:rFonts w:ascii="Times New Roman" w:hAnsi="Times New Roman" w:cs="Times New Roman"/>
                <w:b/>
                <w:sz w:val="18"/>
                <w:szCs w:val="18"/>
              </w:rPr>
            </w:pPr>
            <w:r w:rsidRPr="00D65C3B">
              <w:rPr>
                <w:rFonts w:ascii="Times New Roman" w:hAnsi="Times New Roman" w:cs="Times New Roman"/>
                <w:b/>
                <w:sz w:val="18"/>
                <w:szCs w:val="18"/>
              </w:rPr>
              <w:t>2026.</w:t>
            </w:r>
          </w:p>
        </w:tc>
        <w:tc>
          <w:tcPr>
            <w:tcW w:w="1009" w:type="dxa"/>
            <w:vAlign w:val="center"/>
          </w:tcPr>
          <w:p w14:paraId="6A76E87D" w14:textId="77777777" w:rsidR="00D65C3B" w:rsidRPr="00D65C3B" w:rsidRDefault="00D65C3B" w:rsidP="00D65C3B">
            <w:pPr>
              <w:jc w:val="center"/>
              <w:rPr>
                <w:rFonts w:ascii="Times New Roman" w:hAnsi="Times New Roman" w:cs="Times New Roman"/>
                <w:b/>
                <w:sz w:val="18"/>
                <w:szCs w:val="18"/>
              </w:rPr>
            </w:pPr>
            <w:r w:rsidRPr="00D65C3B">
              <w:rPr>
                <w:rFonts w:ascii="Times New Roman" w:hAnsi="Times New Roman" w:cs="Times New Roman"/>
                <w:b/>
                <w:sz w:val="18"/>
                <w:szCs w:val="18"/>
              </w:rPr>
              <w:t>2027.</w:t>
            </w:r>
          </w:p>
        </w:tc>
        <w:tc>
          <w:tcPr>
            <w:tcW w:w="1009" w:type="dxa"/>
            <w:vAlign w:val="center"/>
          </w:tcPr>
          <w:p w14:paraId="6EC1F8E5" w14:textId="77777777" w:rsidR="00D65C3B" w:rsidRPr="00D65C3B" w:rsidRDefault="00D65C3B" w:rsidP="00D65C3B">
            <w:pPr>
              <w:jc w:val="center"/>
              <w:rPr>
                <w:rFonts w:ascii="Times New Roman" w:hAnsi="Times New Roman" w:cs="Times New Roman"/>
                <w:b/>
                <w:sz w:val="18"/>
                <w:szCs w:val="18"/>
              </w:rPr>
            </w:pPr>
            <w:r w:rsidRPr="00D65C3B">
              <w:rPr>
                <w:rFonts w:ascii="Times New Roman" w:hAnsi="Times New Roman" w:cs="Times New Roman"/>
                <w:b/>
                <w:sz w:val="18"/>
                <w:szCs w:val="18"/>
              </w:rPr>
              <w:t>2028.</w:t>
            </w:r>
          </w:p>
        </w:tc>
        <w:tc>
          <w:tcPr>
            <w:tcW w:w="1009" w:type="dxa"/>
            <w:vAlign w:val="center"/>
          </w:tcPr>
          <w:p w14:paraId="22766234" w14:textId="77777777" w:rsidR="00D65C3B" w:rsidRPr="00D65C3B" w:rsidRDefault="00D65C3B" w:rsidP="00D65C3B">
            <w:pPr>
              <w:jc w:val="center"/>
              <w:rPr>
                <w:rFonts w:ascii="Times New Roman" w:hAnsi="Times New Roman" w:cs="Times New Roman"/>
                <w:b/>
                <w:sz w:val="18"/>
                <w:szCs w:val="18"/>
              </w:rPr>
            </w:pPr>
            <w:r w:rsidRPr="00D65C3B">
              <w:rPr>
                <w:rFonts w:ascii="Times New Roman" w:hAnsi="Times New Roman" w:cs="Times New Roman"/>
                <w:b/>
                <w:sz w:val="18"/>
                <w:szCs w:val="18"/>
              </w:rPr>
              <w:t>2029.</w:t>
            </w:r>
          </w:p>
        </w:tc>
        <w:tc>
          <w:tcPr>
            <w:tcW w:w="1109" w:type="dxa"/>
            <w:shd w:val="clear" w:color="auto" w:fill="auto"/>
            <w:noWrap/>
            <w:vAlign w:val="center"/>
            <w:hideMark/>
          </w:tcPr>
          <w:p w14:paraId="32A225DB" w14:textId="77777777" w:rsidR="00D65C3B" w:rsidRPr="00D65C3B" w:rsidRDefault="00D65C3B" w:rsidP="00D65C3B">
            <w:pPr>
              <w:jc w:val="center"/>
              <w:rPr>
                <w:rFonts w:ascii="Times New Roman" w:hAnsi="Times New Roman" w:cs="Times New Roman"/>
                <w:b/>
                <w:sz w:val="18"/>
                <w:szCs w:val="18"/>
              </w:rPr>
            </w:pPr>
            <w:r w:rsidRPr="00D65C3B">
              <w:rPr>
                <w:rFonts w:ascii="Times New Roman" w:hAnsi="Times New Roman" w:cs="Times New Roman"/>
                <w:b/>
                <w:sz w:val="18"/>
                <w:szCs w:val="18"/>
              </w:rPr>
              <w:t>UKUPNO</w:t>
            </w:r>
          </w:p>
        </w:tc>
      </w:tr>
      <w:tr w:rsidR="00D65C3B" w:rsidRPr="00D65C3B" w14:paraId="382B187F" w14:textId="77777777" w:rsidTr="004774AC">
        <w:trPr>
          <w:trHeight w:val="476"/>
          <w:jc w:val="center"/>
        </w:trPr>
        <w:tc>
          <w:tcPr>
            <w:tcW w:w="1983" w:type="dxa"/>
            <w:shd w:val="clear" w:color="auto" w:fill="auto"/>
            <w:noWrap/>
            <w:vAlign w:val="center"/>
            <w:hideMark/>
          </w:tcPr>
          <w:p w14:paraId="50BB88FF" w14:textId="77777777" w:rsidR="00D65C3B" w:rsidRPr="00D65C3B" w:rsidRDefault="00D65C3B" w:rsidP="00D65C3B">
            <w:pPr>
              <w:jc w:val="center"/>
              <w:rPr>
                <w:rFonts w:ascii="Times New Roman" w:hAnsi="Times New Roman" w:cs="Times New Roman"/>
                <w:b/>
                <w:sz w:val="18"/>
                <w:szCs w:val="18"/>
              </w:rPr>
            </w:pPr>
            <w:r w:rsidRPr="00D65C3B">
              <w:rPr>
                <w:rFonts w:ascii="Times New Roman" w:hAnsi="Times New Roman" w:cs="Times New Roman"/>
                <w:b/>
                <w:sz w:val="18"/>
                <w:szCs w:val="18"/>
              </w:rPr>
              <w:t>Potpora za korisnike</w:t>
            </w:r>
          </w:p>
        </w:tc>
        <w:tc>
          <w:tcPr>
            <w:tcW w:w="1188" w:type="dxa"/>
            <w:shd w:val="clear" w:color="auto" w:fill="auto"/>
            <w:noWrap/>
            <w:vAlign w:val="center"/>
            <w:hideMark/>
          </w:tcPr>
          <w:p w14:paraId="458389EF" w14:textId="77777777" w:rsidR="00D65C3B" w:rsidRPr="00D65C3B" w:rsidRDefault="00D65C3B" w:rsidP="00D65C3B">
            <w:pPr>
              <w:jc w:val="center"/>
              <w:rPr>
                <w:rFonts w:ascii="Times New Roman" w:hAnsi="Times New Roman" w:cs="Times New Roman"/>
                <w:b/>
                <w:sz w:val="18"/>
                <w:szCs w:val="18"/>
              </w:rPr>
            </w:pPr>
            <w:r w:rsidRPr="00D65C3B">
              <w:rPr>
                <w:rFonts w:ascii="Times New Roman" w:hAnsi="Times New Roman" w:cs="Times New Roman"/>
                <w:b/>
                <w:sz w:val="18"/>
                <w:szCs w:val="18"/>
              </w:rPr>
              <w:t>50.000,00</w:t>
            </w:r>
          </w:p>
        </w:tc>
        <w:tc>
          <w:tcPr>
            <w:tcW w:w="1131" w:type="dxa"/>
            <w:shd w:val="clear" w:color="auto" w:fill="auto"/>
            <w:noWrap/>
            <w:vAlign w:val="center"/>
            <w:hideMark/>
          </w:tcPr>
          <w:p w14:paraId="624F73DC" w14:textId="77777777" w:rsidR="00D65C3B" w:rsidRPr="00D65C3B" w:rsidRDefault="00D65C3B" w:rsidP="00D65C3B">
            <w:pPr>
              <w:jc w:val="center"/>
              <w:rPr>
                <w:rFonts w:ascii="Times New Roman" w:hAnsi="Times New Roman" w:cs="Times New Roman"/>
                <w:b/>
                <w:sz w:val="18"/>
                <w:szCs w:val="18"/>
              </w:rPr>
            </w:pPr>
            <w:r w:rsidRPr="00D65C3B">
              <w:rPr>
                <w:rFonts w:ascii="Times New Roman" w:hAnsi="Times New Roman" w:cs="Times New Roman"/>
                <w:b/>
                <w:sz w:val="18"/>
                <w:szCs w:val="18"/>
              </w:rPr>
              <w:t>50.000,00</w:t>
            </w:r>
          </w:p>
        </w:tc>
        <w:tc>
          <w:tcPr>
            <w:tcW w:w="1009" w:type="dxa"/>
            <w:shd w:val="clear" w:color="auto" w:fill="auto"/>
            <w:noWrap/>
            <w:vAlign w:val="center"/>
            <w:hideMark/>
          </w:tcPr>
          <w:p w14:paraId="1D1C9731" w14:textId="77777777" w:rsidR="00D65C3B" w:rsidRPr="00D65C3B" w:rsidRDefault="00D65C3B" w:rsidP="00D65C3B">
            <w:pPr>
              <w:jc w:val="center"/>
              <w:rPr>
                <w:rFonts w:ascii="Times New Roman" w:hAnsi="Times New Roman" w:cs="Times New Roman"/>
                <w:b/>
                <w:sz w:val="18"/>
                <w:szCs w:val="18"/>
              </w:rPr>
            </w:pPr>
            <w:r w:rsidRPr="00D65C3B">
              <w:rPr>
                <w:rFonts w:ascii="Times New Roman" w:hAnsi="Times New Roman" w:cs="Times New Roman"/>
                <w:b/>
                <w:sz w:val="18"/>
                <w:szCs w:val="18"/>
              </w:rPr>
              <w:t>50.000,00</w:t>
            </w:r>
          </w:p>
        </w:tc>
        <w:tc>
          <w:tcPr>
            <w:tcW w:w="1009" w:type="dxa"/>
            <w:vAlign w:val="center"/>
          </w:tcPr>
          <w:p w14:paraId="6CE0E53A" w14:textId="77777777" w:rsidR="00D65C3B" w:rsidRPr="00D65C3B" w:rsidRDefault="00D65C3B" w:rsidP="00D65C3B">
            <w:pPr>
              <w:jc w:val="center"/>
              <w:rPr>
                <w:rFonts w:ascii="Times New Roman" w:hAnsi="Times New Roman" w:cs="Times New Roman"/>
                <w:b/>
                <w:sz w:val="18"/>
                <w:szCs w:val="18"/>
              </w:rPr>
            </w:pPr>
            <w:r w:rsidRPr="00D65C3B">
              <w:rPr>
                <w:rFonts w:ascii="Times New Roman" w:hAnsi="Times New Roman" w:cs="Times New Roman"/>
                <w:b/>
                <w:sz w:val="18"/>
                <w:szCs w:val="18"/>
              </w:rPr>
              <w:t>50.000,00</w:t>
            </w:r>
          </w:p>
        </w:tc>
        <w:tc>
          <w:tcPr>
            <w:tcW w:w="1009" w:type="dxa"/>
            <w:vAlign w:val="center"/>
          </w:tcPr>
          <w:p w14:paraId="0AC6C547" w14:textId="77777777" w:rsidR="00D65C3B" w:rsidRPr="00D65C3B" w:rsidRDefault="00D65C3B" w:rsidP="00D65C3B">
            <w:pPr>
              <w:jc w:val="center"/>
              <w:rPr>
                <w:rFonts w:ascii="Times New Roman" w:hAnsi="Times New Roman" w:cs="Times New Roman"/>
                <w:b/>
                <w:sz w:val="18"/>
                <w:szCs w:val="18"/>
              </w:rPr>
            </w:pPr>
            <w:r w:rsidRPr="00D65C3B">
              <w:rPr>
                <w:rFonts w:ascii="Times New Roman" w:hAnsi="Times New Roman" w:cs="Times New Roman"/>
                <w:b/>
                <w:sz w:val="18"/>
                <w:szCs w:val="18"/>
              </w:rPr>
              <w:t>50.000,00</w:t>
            </w:r>
          </w:p>
        </w:tc>
        <w:tc>
          <w:tcPr>
            <w:tcW w:w="1009" w:type="dxa"/>
            <w:vAlign w:val="center"/>
          </w:tcPr>
          <w:p w14:paraId="068AFB28" w14:textId="77777777" w:rsidR="00D65C3B" w:rsidRPr="00D65C3B" w:rsidRDefault="00D65C3B" w:rsidP="00D65C3B">
            <w:pPr>
              <w:jc w:val="center"/>
              <w:rPr>
                <w:rFonts w:ascii="Times New Roman" w:hAnsi="Times New Roman" w:cs="Times New Roman"/>
                <w:b/>
                <w:sz w:val="18"/>
                <w:szCs w:val="18"/>
              </w:rPr>
            </w:pPr>
            <w:r w:rsidRPr="00D65C3B">
              <w:rPr>
                <w:rFonts w:ascii="Times New Roman" w:hAnsi="Times New Roman" w:cs="Times New Roman"/>
                <w:b/>
                <w:sz w:val="18"/>
                <w:szCs w:val="18"/>
              </w:rPr>
              <w:t>50.000,00</w:t>
            </w:r>
          </w:p>
        </w:tc>
        <w:tc>
          <w:tcPr>
            <w:tcW w:w="1109" w:type="dxa"/>
            <w:shd w:val="clear" w:color="auto" w:fill="auto"/>
            <w:noWrap/>
            <w:vAlign w:val="center"/>
            <w:hideMark/>
          </w:tcPr>
          <w:p w14:paraId="1CD1D027" w14:textId="77777777" w:rsidR="00D65C3B" w:rsidRPr="00D65C3B" w:rsidRDefault="00D65C3B" w:rsidP="00D65C3B">
            <w:pPr>
              <w:jc w:val="center"/>
              <w:rPr>
                <w:rFonts w:ascii="Times New Roman" w:hAnsi="Times New Roman" w:cs="Times New Roman"/>
                <w:b/>
                <w:sz w:val="18"/>
                <w:szCs w:val="18"/>
              </w:rPr>
            </w:pPr>
            <w:r w:rsidRPr="00D65C3B">
              <w:rPr>
                <w:rFonts w:ascii="Times New Roman" w:hAnsi="Times New Roman" w:cs="Times New Roman"/>
                <w:b/>
                <w:sz w:val="18"/>
                <w:szCs w:val="18"/>
              </w:rPr>
              <w:t>300.000,00</w:t>
            </w:r>
          </w:p>
        </w:tc>
      </w:tr>
    </w:tbl>
    <w:p w14:paraId="6857A00B" w14:textId="77777777" w:rsidR="00D65C3B" w:rsidRPr="00AE17B8" w:rsidRDefault="00D65C3B" w:rsidP="00D65C3B">
      <w:pPr>
        <w:spacing w:before="120" w:line="300" w:lineRule="atLeast"/>
        <w:jc w:val="both"/>
        <w:rPr>
          <w:rFonts w:ascii="Times New Roman" w:hAnsi="Times New Roman" w:cs="Times New Roman"/>
          <w:b/>
          <w:iCs/>
          <w:sz w:val="20"/>
          <w:szCs w:val="20"/>
        </w:rPr>
      </w:pPr>
      <w:r w:rsidRPr="00D65C3B">
        <w:rPr>
          <w:rFonts w:ascii="Times New Roman" w:eastAsia="Calibri" w:hAnsi="Times New Roman" w:cs="Times New Roman"/>
          <w:bCs/>
          <w:iCs/>
          <w:color w:val="auto"/>
          <w:sz w:val="20"/>
          <w:szCs w:val="20"/>
          <w:lang w:eastAsia="en-US"/>
        </w:rPr>
        <w:t xml:space="preserve">  </w:t>
      </w:r>
      <w:bookmarkStart w:id="10" w:name="_Hlk167441145"/>
      <w:r w:rsidRPr="00AE17B8">
        <w:rPr>
          <w:rFonts w:ascii="Times New Roman" w:eastAsia="Calibri" w:hAnsi="Times New Roman" w:cs="Times New Roman"/>
          <w:b/>
          <w:iCs/>
          <w:color w:val="auto"/>
          <w:sz w:val="20"/>
          <w:szCs w:val="20"/>
          <w:lang w:eastAsia="en-US"/>
        </w:rPr>
        <w:t xml:space="preserve">Tablica 5. </w:t>
      </w:r>
      <w:r w:rsidRPr="00AE17B8">
        <w:rPr>
          <w:rFonts w:ascii="Times New Roman" w:hAnsi="Times New Roman" w:cs="Times New Roman"/>
          <w:b/>
          <w:iCs/>
          <w:sz w:val="20"/>
          <w:szCs w:val="20"/>
        </w:rPr>
        <w:t xml:space="preserve">Plan financiranja Programa </w:t>
      </w:r>
      <w:bookmarkEnd w:id="10"/>
    </w:p>
    <w:p w14:paraId="04A3B305" w14:textId="77777777" w:rsidR="00D65C3B" w:rsidRPr="00D65C3B" w:rsidRDefault="00D65C3B" w:rsidP="00D65C3B">
      <w:pPr>
        <w:rPr>
          <w:rFonts w:ascii="Times New Roman" w:hAnsi="Times New Roman" w:cs="Times New Roman"/>
          <w:b/>
          <w:bCs/>
          <w:sz w:val="20"/>
          <w:szCs w:val="20"/>
        </w:rPr>
      </w:pPr>
    </w:p>
    <w:p w14:paraId="1717854F"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Sredstva Programa predstavljaju izravnu pomoć znanstvenim institucijama u financiranju istraživanja utjecaja različitih tehnologija i agrotehničkih mjera na održavanje matičnih nasada visokih kategorija.</w:t>
      </w:r>
    </w:p>
    <w:p w14:paraId="7C61EDE7"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53F0BEB0"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Sredstva se dodjeljuju na način i prema kriterijima utvrđenim Programom putem Javnog poziva za financiranje istraživanja usmjerenih na unapređenje kvalitete sadnog materijala loze (dalje u tekstu: Javni poziv) kojima se osigurava visoka genetska čistoća i zdravstvena ispravnost domaćeg reprodukcijskog sadnog materijala loze autohtonog i suvremenog sortimenta koji ispunjava fitosanitarne standarde i odredbe propisa iz točke 2. podstavaka 1., 2. i 3. ovoga Programa. </w:t>
      </w:r>
    </w:p>
    <w:p w14:paraId="55D044DF"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31EEFE2C"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Financijska sredstva ovog Programa dodjeljuju se u skladu s Poglavljem I. i člankom 38. Uredbe </w:t>
      </w:r>
      <w:bookmarkStart w:id="11" w:name="_Hlk172024622"/>
      <w:r w:rsidRPr="00D65C3B">
        <w:rPr>
          <w:rFonts w:ascii="Times New Roman" w:hAnsi="Times New Roman" w:cs="Times New Roman"/>
          <w:lang w:eastAsia="en-US"/>
        </w:rPr>
        <w:t>Komisije (EU) br. 2022/2472</w:t>
      </w:r>
      <w:bookmarkEnd w:id="11"/>
      <w:r w:rsidRPr="00D65C3B">
        <w:rPr>
          <w:rFonts w:ascii="Times New Roman" w:hAnsi="Times New Roman" w:cs="Times New Roman"/>
          <w:lang w:eastAsia="en-US"/>
        </w:rPr>
        <w:t xml:space="preserve"> o proglašenju određenih kategorija u sektorima poljoprivrede i šumarstva te u ruralnim područjima spojivima s unutarnjim tržištem u primjeni članaka 107. i 108. Ugovora o funkcioniranju Europske unije</w:t>
      </w:r>
      <w:r w:rsidRPr="00D65C3B" w:rsidDel="002814AE">
        <w:rPr>
          <w:rFonts w:ascii="Times New Roman" w:hAnsi="Times New Roman" w:cs="Times New Roman"/>
          <w:lang w:eastAsia="en-US"/>
        </w:rPr>
        <w:t xml:space="preserve"> </w:t>
      </w:r>
      <w:r w:rsidRPr="00D65C3B">
        <w:rPr>
          <w:rFonts w:ascii="Times New Roman" w:hAnsi="Times New Roman" w:cs="Times New Roman"/>
          <w:lang w:eastAsia="en-US"/>
        </w:rPr>
        <w:t>(SL L 327 od 14. prosinca 2022.) (u daljnjem tekstu: Uredba). Potpore dodijeljene kroz ovaj Program spojive su s unutarnjim tržištem u smislu članka 107. stavka 3. Ugovora i izuzete iz obveze prijave iz njegova članka 108. stavka 3. s obzirom da ispunjavaju sve opće uvjete utvrđene u Poglavlju I. Uredbe i sve posebne uvjete iz članka 38. Uredbe.</w:t>
      </w:r>
    </w:p>
    <w:p w14:paraId="3899ABB0"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7A5C4046"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Aktivnost kojoj se dodjeljuje potpora u interesu je svih poduzetnika koji djeluju u sektoru poljoprivredne voćarske i rasadničarske proizvodnje sukladno članku 38. stavku 2. Uredbe.</w:t>
      </w:r>
    </w:p>
    <w:p w14:paraId="401AA641" w14:textId="77777777" w:rsidR="00D65C3B" w:rsidRPr="00D65C3B" w:rsidRDefault="00D65C3B" w:rsidP="00D65C3B">
      <w:pPr>
        <w:spacing w:line="276" w:lineRule="auto"/>
        <w:jc w:val="both"/>
        <w:rPr>
          <w:rFonts w:ascii="Times New Roman" w:hAnsi="Times New Roman" w:cs="Times New Roman"/>
          <w:color w:val="auto"/>
        </w:rPr>
      </w:pPr>
    </w:p>
    <w:p w14:paraId="5968E9F2"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Prije početka aktivnosti pojedinog Korisnika kojem je dodijeljena potpora na mrežnim stranicama Ministarstva (</w:t>
      </w:r>
      <w:hyperlink r:id="rId11" w:history="1">
        <w:r w:rsidRPr="00D65C3B">
          <w:rPr>
            <w:rFonts w:ascii="Times New Roman" w:hAnsi="Times New Roman" w:cs="Times New Roman"/>
            <w:lang w:eastAsia="en-US"/>
          </w:rPr>
          <w:t>http://fisportal.mps.hr/hr/sve/dokumenti-obrasci/</w:t>
        </w:r>
      </w:hyperlink>
      <w:r w:rsidRPr="00D65C3B">
        <w:rPr>
          <w:rFonts w:ascii="Times New Roman" w:hAnsi="Times New Roman" w:cs="Times New Roman"/>
          <w:lang w:eastAsia="en-US"/>
        </w:rPr>
        <w:t>) objavit će se sljedeći podaci:</w:t>
      </w:r>
    </w:p>
    <w:p w14:paraId="28E3DD0E" w14:textId="77777777" w:rsidR="00D65C3B" w:rsidRPr="00D65C3B" w:rsidRDefault="00D65C3B" w:rsidP="00D65C3B">
      <w:pPr>
        <w:numPr>
          <w:ilvl w:val="0"/>
          <w:numId w:val="4"/>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sažetak informacija o Programu </w:t>
      </w:r>
    </w:p>
    <w:p w14:paraId="48A42A64" w14:textId="78DBDEED" w:rsidR="00D65C3B" w:rsidRPr="00D65C3B" w:rsidRDefault="00D65C3B" w:rsidP="00D65C3B">
      <w:pPr>
        <w:numPr>
          <w:ilvl w:val="0"/>
          <w:numId w:val="4"/>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cjeloviti tekst Programa uključujući njegove izmjene ili poveznicu za pristup cjelovitom tekstu Programa uključujući izričito upućivanje na Uredbu citirajući njezin naslov i upućivanje na objavu u Službenom listu Europske unije i na određene odredbe Poglavlja III Uredbe</w:t>
      </w:r>
      <w:r w:rsidRPr="00D65C3B">
        <w:t xml:space="preserve"> </w:t>
      </w:r>
      <w:r w:rsidRPr="00D65C3B">
        <w:rPr>
          <w:rFonts w:ascii="Times New Roman" w:hAnsi="Times New Roman" w:cs="Times New Roman"/>
          <w:lang w:eastAsia="en-US"/>
        </w:rPr>
        <w:t xml:space="preserve">Komisije (EU) br. 2022/2472. </w:t>
      </w:r>
    </w:p>
    <w:p w14:paraId="5CFB2308" w14:textId="77777777" w:rsidR="00D65C3B" w:rsidRPr="00D65C3B" w:rsidRDefault="00D65C3B" w:rsidP="00D65C3B">
      <w:pPr>
        <w:numPr>
          <w:ilvl w:val="0"/>
          <w:numId w:val="4"/>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da će se Program kojim je dodijeljena potpora provesti</w:t>
      </w:r>
    </w:p>
    <w:p w14:paraId="297BC88B" w14:textId="77777777" w:rsidR="00D65C3B" w:rsidRPr="00D65C3B" w:rsidRDefault="00D65C3B" w:rsidP="00D65C3B">
      <w:pPr>
        <w:numPr>
          <w:ilvl w:val="0"/>
          <w:numId w:val="4"/>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ciljevi Programa kojim je dodijeljena potpora</w:t>
      </w:r>
    </w:p>
    <w:p w14:paraId="0CC93FC9" w14:textId="77777777" w:rsidR="00D65C3B" w:rsidRPr="00D65C3B" w:rsidRDefault="00D65C3B" w:rsidP="00D65C3B">
      <w:pPr>
        <w:numPr>
          <w:ilvl w:val="0"/>
          <w:numId w:val="4"/>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približni datum objavljivanja rezultata očekivanih od Programa kojim je dodijeljena potpora</w:t>
      </w:r>
    </w:p>
    <w:p w14:paraId="1FA0B9D8" w14:textId="77777777" w:rsidR="00D65C3B" w:rsidRPr="00D65C3B" w:rsidRDefault="00D65C3B" w:rsidP="00D65C3B">
      <w:pPr>
        <w:numPr>
          <w:ilvl w:val="0"/>
          <w:numId w:val="4"/>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internet stranica na kojoj će se objaviti rezultati očekivanih od Programa kojim je dodijeljena potpora </w:t>
      </w:r>
    </w:p>
    <w:p w14:paraId="7406534E" w14:textId="77777777" w:rsidR="00D65C3B" w:rsidRPr="00D65C3B" w:rsidRDefault="00D65C3B" w:rsidP="00D65C3B">
      <w:pPr>
        <w:numPr>
          <w:ilvl w:val="0"/>
          <w:numId w:val="4"/>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napomena da su rezultati Programa kojim je dodijeljena potpora besplatno dostupni svim poduzetnicima koji djeluju u hrvatskom rasadničarstvu.</w:t>
      </w:r>
    </w:p>
    <w:p w14:paraId="31B6CE40"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4D132AEA"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Rezultati aktivnosti pojedinog Korisnika kojima je dodijeljena potpora bit će dostupni na mrežnim stranicama Ministarstva (</w:t>
      </w:r>
      <w:hyperlink w:history="1">
        <w:hyperlink r:id="rId12" w:history="1">
          <w:r w:rsidRPr="00D65C3B">
            <w:rPr>
              <w:rFonts w:ascii="Times New Roman" w:hAnsi="Times New Roman" w:cs="Times New Roman"/>
              <w:lang w:eastAsia="en-US"/>
            </w:rPr>
            <w:t>http://fisportal.mps.hr/hr/sve/dokumenti-obrasci/</w:t>
          </w:r>
        </w:hyperlink>
      </w:hyperlink>
      <w:r w:rsidRPr="00D65C3B">
        <w:rPr>
          <w:rFonts w:ascii="Times New Roman" w:hAnsi="Times New Roman" w:cs="Times New Roman"/>
          <w:lang w:eastAsia="en-US"/>
        </w:rPr>
        <w:t>) od datuma završetka projekta. Rezultati ostaju dostupni na mrežnim stranicama Ministarstva tijekom razdoblja od najmanje 5 godina počevši od datuma završetka projekta, a sukladno članku 38. stavku 4. Uredbe.</w:t>
      </w:r>
    </w:p>
    <w:p w14:paraId="73623FA7"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1B30D20C"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Potpora ne uključuje plaćanja poduzetnicima u poljoprivrednom sektoru na temelju cijene poljoprivrednih proizvoda. Intenzitet potpore ograničen je na 100 % prihvatljivih troškova.</w:t>
      </w:r>
    </w:p>
    <w:p w14:paraId="3AF6CAE2"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28D2269B" w14:textId="220283E6"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Potpore iz ovog Programa ne mogu se isplaćivati u korist poduzetnika koji podliježe neizvršenom nalogu za povrat sredstava na temelju prethodne odluke Komisije kojom se potpora ocjenjuje nezakonitom i nesukladnom s unutarnjim tržištem</w:t>
      </w:r>
      <w:r w:rsidR="00DE7407">
        <w:rPr>
          <w:rFonts w:ascii="Times New Roman" w:hAnsi="Times New Roman" w:cs="Times New Roman"/>
          <w:lang w:eastAsia="en-US"/>
        </w:rPr>
        <w:t>,</w:t>
      </w:r>
      <w:r w:rsidRPr="00D65C3B">
        <w:rPr>
          <w:rFonts w:ascii="Times New Roman" w:hAnsi="Times New Roman" w:cs="Times New Roman"/>
          <w:lang w:eastAsia="en-US"/>
        </w:rPr>
        <w:t xml:space="preserve"> na jednokratne potpore u korist poduzetnika koji podliježe neizvršenom nalogu za povrat sredstava na temelju prethodne odluke Komisije kojom se potpora ocjenjuje nezakonitom i nesukladnom s unutarnjim tržištem.</w:t>
      </w:r>
    </w:p>
    <w:p w14:paraId="211FCE5E"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Potpore ovog Programa ne dodjeljuju se poduzetnicima u teškoćama.</w:t>
      </w:r>
    </w:p>
    <w:p w14:paraId="5C3CBF9E"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218FF794"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Odredbe Uredbe Komisije (EU) br. 2022/2472 se ne primjenjuju na potpore koje same po sebi, s obzirom na uvjete koji su s njima povezani ili s obzirom na način financiranja, podrazumijevaju neizbježnu povredu prava Unije, a posebno na:</w:t>
      </w:r>
    </w:p>
    <w:p w14:paraId="2B19A0D0" w14:textId="77777777" w:rsidR="00D65C3B" w:rsidRPr="00D65C3B" w:rsidRDefault="00D65C3B" w:rsidP="00D65C3B">
      <w:pPr>
        <w:spacing w:before="120" w:after="120" w:line="276" w:lineRule="auto"/>
        <w:contextualSpacing/>
        <w:jc w:val="both"/>
        <w:rPr>
          <w:rFonts w:ascii="Times New Roman" w:hAnsi="Times New Roman" w:cs="Times New Roman"/>
          <w:color w:val="auto"/>
          <w:lang w:eastAsia="en-US"/>
        </w:rPr>
      </w:pPr>
    </w:p>
    <w:p w14:paraId="113B204F" w14:textId="77777777" w:rsidR="00D65C3B" w:rsidRPr="00D65C3B" w:rsidRDefault="00D65C3B" w:rsidP="00D65C3B">
      <w:pPr>
        <w:numPr>
          <w:ilvl w:val="0"/>
          <w:numId w:val="2"/>
        </w:numPr>
        <w:spacing w:before="120" w:after="120" w:line="276" w:lineRule="auto"/>
        <w:contextualSpacing/>
        <w:jc w:val="both"/>
        <w:rPr>
          <w:rFonts w:ascii="Times New Roman" w:hAnsi="Times New Roman" w:cs="Times New Roman"/>
          <w:color w:val="auto"/>
          <w:lang w:eastAsia="en-US"/>
        </w:rPr>
      </w:pPr>
      <w:r w:rsidRPr="00D65C3B">
        <w:rPr>
          <w:rFonts w:ascii="Times New Roman" w:hAnsi="Times New Roman" w:cs="Times New Roman"/>
          <w:color w:val="auto"/>
          <w:lang w:eastAsia="en-US"/>
        </w:rPr>
        <w:t>potpore za koje dodjela potpore ovisi o obvezi korisnika da ima poslovni nastan u određenoj državi članici ili da većina njegovih poslovnih jedinica ima poslovni nastan u toj državi članici</w:t>
      </w:r>
    </w:p>
    <w:p w14:paraId="24533AE3" w14:textId="77777777" w:rsidR="00D65C3B" w:rsidRPr="00D65C3B" w:rsidRDefault="00D65C3B" w:rsidP="00D65C3B">
      <w:pPr>
        <w:numPr>
          <w:ilvl w:val="0"/>
          <w:numId w:val="2"/>
        </w:numPr>
        <w:spacing w:before="120" w:after="120" w:line="276" w:lineRule="auto"/>
        <w:contextualSpacing/>
        <w:jc w:val="both"/>
        <w:rPr>
          <w:rFonts w:ascii="Times New Roman" w:hAnsi="Times New Roman" w:cs="Times New Roman"/>
          <w:color w:val="auto"/>
          <w:lang w:eastAsia="en-US"/>
        </w:rPr>
      </w:pPr>
      <w:r w:rsidRPr="00D65C3B">
        <w:rPr>
          <w:rFonts w:ascii="Times New Roman" w:hAnsi="Times New Roman" w:cs="Times New Roman"/>
          <w:color w:val="auto"/>
          <w:lang w:eastAsia="en-US"/>
        </w:rPr>
        <w:t>potpore za koje dodjela potpore ovisi o obvezi korisnika da upotrebljava robu proizvedenu ili usluge pružene na državnom području</w:t>
      </w:r>
    </w:p>
    <w:p w14:paraId="2806D52E" w14:textId="77777777" w:rsidR="00D65C3B" w:rsidRPr="00D65C3B" w:rsidRDefault="00D65C3B" w:rsidP="00D65C3B">
      <w:pPr>
        <w:numPr>
          <w:ilvl w:val="0"/>
          <w:numId w:val="2"/>
        </w:numPr>
        <w:spacing w:before="120" w:after="120" w:line="276" w:lineRule="auto"/>
        <w:contextualSpacing/>
        <w:jc w:val="both"/>
        <w:rPr>
          <w:rFonts w:ascii="Times New Roman" w:hAnsi="Times New Roman" w:cs="Times New Roman"/>
          <w:color w:val="auto"/>
          <w:lang w:eastAsia="en-US"/>
        </w:rPr>
      </w:pPr>
      <w:r w:rsidRPr="00D65C3B">
        <w:rPr>
          <w:rFonts w:ascii="Times New Roman" w:hAnsi="Times New Roman" w:cs="Times New Roman"/>
          <w:color w:val="auto"/>
          <w:lang w:eastAsia="en-US"/>
        </w:rPr>
        <w:t>potpore kojima se korisnicima ograničava mogućnost uporabe rezultata istraživanja, razvoja i inovacija u ostalim državama članicama.</w:t>
      </w:r>
    </w:p>
    <w:p w14:paraId="292D20D3" w14:textId="77777777" w:rsidR="00D65C3B" w:rsidRPr="00D65C3B" w:rsidRDefault="00D65C3B" w:rsidP="00D65C3B">
      <w:pPr>
        <w:spacing w:before="120" w:after="120" w:line="276" w:lineRule="auto"/>
        <w:contextualSpacing/>
        <w:jc w:val="both"/>
        <w:rPr>
          <w:rFonts w:ascii="Times New Roman" w:hAnsi="Times New Roman" w:cs="Times New Roman"/>
          <w:color w:val="auto"/>
          <w:lang w:eastAsia="en-US"/>
        </w:rPr>
      </w:pPr>
    </w:p>
    <w:p w14:paraId="435113B2"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Ekvivalent potpore iz ovog Programa ne premašuje prag potpore za istraživanje i razvoj u sektorima poljoprivrede i šumarstva kako je navedeno u članku 4. točki (i) Uredbe od 7,5 milijuna EUR po projektu.</w:t>
      </w:r>
    </w:p>
    <w:p w14:paraId="186D73BA"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39FD54CD"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Za potpore iz ovog Programa moguće je točno izračunati bruto ekvivalent bespovratnih sredstava ex ante (za buduće razdoblje) bez potrebe za provođenjem procjene rizika ("transparentne potpore") jer su ovo potpore u obliku bespovratnih sredstava u skladu sa člankom 5. stavkom 2. Uredbe). </w:t>
      </w:r>
    </w:p>
    <w:p w14:paraId="46AB1915"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2CEE27F3"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Prihvatljivi troškovi usklađeni su sa člankom 38. stavkom 7. Uredbe. Sukladno članku 7. stavku 3. Uredbe, Porez na dodanu vrijednost (PDV) nije prihvatljiv za potporu, osim ako se na temelju nacionalnog zakonodavstva o PDV-u ne može ostvariti njegov povrat.</w:t>
      </w:r>
    </w:p>
    <w:p w14:paraId="477F6FA4"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Na potpore iz  Programa odgovarajuće se primjenjuju odredbe o kumulaciji sukladno članku 8. Uredbe te odredbe o objavljivanju i informacijama iz članka 9. Uredbe.</w:t>
      </w:r>
    </w:p>
    <w:bookmarkEnd w:id="7"/>
    <w:p w14:paraId="7EEAC2A9" w14:textId="77777777" w:rsidR="00D65C3B" w:rsidRPr="00D65C3B" w:rsidRDefault="00D65C3B" w:rsidP="00D65C3B">
      <w:pPr>
        <w:spacing w:before="120" w:after="120" w:line="276" w:lineRule="auto"/>
        <w:contextualSpacing/>
        <w:jc w:val="both"/>
        <w:rPr>
          <w:rFonts w:ascii="Times New Roman" w:eastAsia="Calibri" w:hAnsi="Times New Roman" w:cs="Times New Roman"/>
          <w:lang w:eastAsia="en-US"/>
        </w:rPr>
      </w:pPr>
    </w:p>
    <w:p w14:paraId="0F3AD6AB" w14:textId="76A61838" w:rsidR="00D65C3B" w:rsidRPr="00D65C3B" w:rsidRDefault="00A447B2" w:rsidP="00D65C3B">
      <w:pPr>
        <w:keepNext/>
        <w:keepLines/>
        <w:spacing w:before="120"/>
        <w:ind w:left="717" w:hanging="360"/>
        <w:jc w:val="both"/>
        <w:outlineLvl w:val="0"/>
        <w:rPr>
          <w:rFonts w:ascii="Times New Roman" w:eastAsiaTheme="majorEastAsia" w:hAnsi="Times New Roman" w:cstheme="majorBidi"/>
          <w:b/>
          <w:color w:val="auto"/>
          <w:szCs w:val="32"/>
        </w:rPr>
      </w:pPr>
      <w:r>
        <w:rPr>
          <w:rFonts w:ascii="Times New Roman" w:eastAsiaTheme="majorEastAsia" w:hAnsi="Times New Roman" w:cstheme="majorBidi"/>
          <w:b/>
          <w:color w:val="auto"/>
          <w:szCs w:val="32"/>
        </w:rPr>
        <w:t xml:space="preserve">6. </w:t>
      </w:r>
      <w:r w:rsidR="00D65C3B" w:rsidRPr="00D65C3B">
        <w:rPr>
          <w:rFonts w:ascii="Times New Roman" w:eastAsiaTheme="majorEastAsia" w:hAnsi="Times New Roman" w:cstheme="majorBidi"/>
          <w:b/>
          <w:color w:val="auto"/>
          <w:szCs w:val="32"/>
        </w:rPr>
        <w:t xml:space="preserve">TRAJANJE PROGRAMA </w:t>
      </w:r>
    </w:p>
    <w:p w14:paraId="5F4A089B" w14:textId="77777777" w:rsidR="00D65C3B" w:rsidRPr="00D65C3B" w:rsidRDefault="00D65C3B" w:rsidP="00D65C3B">
      <w:pPr>
        <w:spacing w:line="23" w:lineRule="atLeast"/>
        <w:jc w:val="both"/>
        <w:rPr>
          <w:rFonts w:ascii="Times New Roman" w:hAnsi="Times New Roman" w:cs="Times New Roman"/>
          <w:b/>
          <w:bCs/>
          <w:kern w:val="36"/>
        </w:rPr>
      </w:pPr>
    </w:p>
    <w:p w14:paraId="3638FBC6" w14:textId="77777777" w:rsidR="00D65C3B" w:rsidRPr="00D65C3B" w:rsidRDefault="00D65C3B" w:rsidP="00D65C3B">
      <w:pPr>
        <w:spacing w:before="120" w:after="120" w:line="23" w:lineRule="atLeast"/>
        <w:contextualSpacing/>
        <w:jc w:val="both"/>
        <w:rPr>
          <w:rFonts w:ascii="Times New Roman" w:hAnsi="Times New Roman" w:cs="Times New Roman"/>
          <w:lang w:eastAsia="en-US"/>
        </w:rPr>
      </w:pPr>
      <w:r w:rsidRPr="00D65C3B">
        <w:rPr>
          <w:rFonts w:ascii="Times New Roman" w:hAnsi="Times New Roman" w:cs="Times New Roman"/>
          <w:lang w:eastAsia="en-US"/>
        </w:rPr>
        <w:t xml:space="preserve">Program donosi se za razdoblje od 2024. do 2029. godine. </w:t>
      </w:r>
    </w:p>
    <w:p w14:paraId="431FB020" w14:textId="77777777" w:rsidR="00D65C3B" w:rsidRPr="00D65C3B" w:rsidRDefault="00D65C3B" w:rsidP="00D65C3B">
      <w:pPr>
        <w:spacing w:before="120" w:after="120" w:line="23" w:lineRule="atLeast"/>
        <w:contextualSpacing/>
        <w:jc w:val="both"/>
        <w:rPr>
          <w:rFonts w:ascii="Times New Roman" w:hAnsi="Times New Roman" w:cs="Times New Roman"/>
          <w:lang w:eastAsia="en-US"/>
        </w:rPr>
      </w:pPr>
    </w:p>
    <w:p w14:paraId="31B48342" w14:textId="77777777" w:rsidR="00D65C3B" w:rsidRPr="00D65C3B" w:rsidRDefault="00D65C3B" w:rsidP="00D65C3B">
      <w:pPr>
        <w:spacing w:before="120" w:after="120" w:line="23" w:lineRule="atLeast"/>
        <w:contextualSpacing/>
        <w:jc w:val="both"/>
        <w:rPr>
          <w:rFonts w:ascii="Times New Roman" w:hAnsi="Times New Roman" w:cs="Times New Roman"/>
          <w:lang w:eastAsia="en-US"/>
        </w:rPr>
      </w:pPr>
      <w:r w:rsidRPr="00D65C3B">
        <w:rPr>
          <w:rFonts w:ascii="Times New Roman" w:hAnsi="Times New Roman" w:cs="Times New Roman"/>
          <w:lang w:eastAsia="en-US"/>
        </w:rPr>
        <w:t>Radi osiguravanja učinkovitosti Programa kao i izvršenja svih planiranih aktivnosti, potrebno je sustavno praćenje njegove provedbe.</w:t>
      </w:r>
    </w:p>
    <w:p w14:paraId="751C4753" w14:textId="77777777" w:rsidR="00D65C3B" w:rsidRPr="00D65C3B" w:rsidRDefault="00D65C3B" w:rsidP="00D65C3B">
      <w:pPr>
        <w:spacing w:before="120" w:after="120" w:line="23" w:lineRule="atLeast"/>
        <w:contextualSpacing/>
        <w:jc w:val="both"/>
        <w:rPr>
          <w:rFonts w:ascii="Times New Roman" w:hAnsi="Times New Roman" w:cs="Times New Roman"/>
          <w:lang w:eastAsia="en-US"/>
        </w:rPr>
      </w:pPr>
    </w:p>
    <w:p w14:paraId="58E93EE0" w14:textId="77777777" w:rsidR="00D65C3B" w:rsidRPr="00D65C3B" w:rsidRDefault="00D65C3B" w:rsidP="00D65C3B">
      <w:pPr>
        <w:spacing w:before="120" w:after="120" w:line="23" w:lineRule="atLeast"/>
        <w:contextualSpacing/>
        <w:jc w:val="both"/>
        <w:rPr>
          <w:rFonts w:ascii="Times New Roman" w:hAnsi="Times New Roman" w:cs="Times New Roman"/>
          <w:lang w:eastAsia="en-US"/>
        </w:rPr>
      </w:pPr>
      <w:r w:rsidRPr="00D65C3B">
        <w:rPr>
          <w:rFonts w:ascii="Times New Roman" w:hAnsi="Times New Roman" w:cs="Times New Roman"/>
          <w:lang w:eastAsia="en-US"/>
        </w:rPr>
        <w:t>Detaljna provjera stanja na terenu, u svim uključenim institucijama provodit će se svake godine od strane Povjerenstva za kontrolu koje osniva i imenuje ministar nadležan za poljoprivredu.</w:t>
      </w:r>
    </w:p>
    <w:p w14:paraId="071DFDCE" w14:textId="77777777" w:rsidR="00D65C3B" w:rsidRPr="00D65C3B" w:rsidRDefault="00D65C3B" w:rsidP="00D65C3B">
      <w:pPr>
        <w:spacing w:after="200" w:line="23" w:lineRule="atLeast"/>
        <w:jc w:val="both"/>
        <w:rPr>
          <w:rFonts w:ascii="Times New Roman" w:hAnsi="Times New Roman" w:cs="Times New Roman"/>
          <w:color w:val="auto"/>
        </w:rPr>
      </w:pPr>
    </w:p>
    <w:p w14:paraId="249E86ED" w14:textId="24C45EE3" w:rsidR="00D65C3B" w:rsidRPr="00D65C3B" w:rsidRDefault="00A447B2" w:rsidP="00D65C3B">
      <w:pPr>
        <w:keepNext/>
        <w:keepLines/>
        <w:spacing w:before="120"/>
        <w:ind w:left="717" w:hanging="360"/>
        <w:jc w:val="both"/>
        <w:outlineLvl w:val="0"/>
        <w:rPr>
          <w:rFonts w:ascii="Times New Roman" w:eastAsiaTheme="majorEastAsia" w:hAnsi="Times New Roman" w:cstheme="majorBidi"/>
          <w:b/>
          <w:color w:val="auto"/>
          <w:szCs w:val="32"/>
        </w:rPr>
      </w:pPr>
      <w:r>
        <w:rPr>
          <w:rFonts w:ascii="Times New Roman" w:eastAsiaTheme="majorEastAsia" w:hAnsi="Times New Roman" w:cstheme="majorBidi"/>
          <w:b/>
          <w:color w:val="auto"/>
          <w:szCs w:val="32"/>
        </w:rPr>
        <w:t xml:space="preserve">7. </w:t>
      </w:r>
      <w:r w:rsidR="00D65C3B" w:rsidRPr="00D65C3B">
        <w:rPr>
          <w:rFonts w:ascii="Times New Roman" w:eastAsiaTheme="majorEastAsia" w:hAnsi="Times New Roman" w:cstheme="majorBidi"/>
          <w:b/>
          <w:color w:val="auto"/>
          <w:szCs w:val="32"/>
        </w:rPr>
        <w:t xml:space="preserve">PRIHVATLJIVE AKTIVNOSTI </w:t>
      </w:r>
    </w:p>
    <w:p w14:paraId="70AB09B0" w14:textId="77777777" w:rsidR="00D65C3B" w:rsidRPr="00D65C3B" w:rsidRDefault="00D65C3B" w:rsidP="00D65C3B">
      <w:pPr>
        <w:spacing w:before="120" w:after="120" w:line="23" w:lineRule="atLeast"/>
        <w:contextualSpacing/>
        <w:jc w:val="both"/>
        <w:rPr>
          <w:rFonts w:ascii="Times New Roman" w:hAnsi="Times New Roman" w:cs="Times New Roman"/>
          <w:lang w:eastAsia="en-US"/>
        </w:rPr>
      </w:pPr>
    </w:p>
    <w:p w14:paraId="6C9F8BBD" w14:textId="77777777" w:rsidR="00D65C3B" w:rsidRPr="00D65C3B" w:rsidRDefault="00D65C3B" w:rsidP="00D65C3B">
      <w:pPr>
        <w:spacing w:before="120" w:after="120" w:line="23" w:lineRule="atLeast"/>
        <w:contextualSpacing/>
        <w:jc w:val="both"/>
        <w:rPr>
          <w:rFonts w:ascii="Times New Roman" w:hAnsi="Times New Roman" w:cs="Times New Roman"/>
          <w:lang w:eastAsia="en-US"/>
        </w:rPr>
      </w:pPr>
      <w:r w:rsidRPr="00D65C3B">
        <w:rPr>
          <w:rFonts w:ascii="Times New Roman" w:hAnsi="Times New Roman" w:cs="Times New Roman"/>
          <w:lang w:eastAsia="en-US"/>
        </w:rPr>
        <w:t>Prihvatljive aktivnosti financiranja u okviru Programa su:</w:t>
      </w:r>
    </w:p>
    <w:p w14:paraId="3FC0B397" w14:textId="77777777" w:rsidR="00D65C3B" w:rsidRPr="00D65C3B" w:rsidRDefault="00D65C3B" w:rsidP="00D65C3B">
      <w:pPr>
        <w:spacing w:before="120" w:after="120" w:line="23" w:lineRule="atLeast"/>
        <w:contextualSpacing/>
        <w:jc w:val="both"/>
        <w:rPr>
          <w:rFonts w:ascii="Times New Roman" w:hAnsi="Times New Roman" w:cs="Times New Roman"/>
          <w:lang w:eastAsia="en-US"/>
        </w:rPr>
      </w:pPr>
    </w:p>
    <w:p w14:paraId="5EB69147" w14:textId="77777777" w:rsidR="00D65C3B" w:rsidRPr="00D65C3B" w:rsidRDefault="00D65C3B" w:rsidP="00D65C3B">
      <w:pPr>
        <w:numPr>
          <w:ilvl w:val="0"/>
          <w:numId w:val="5"/>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praćenje gospodarskih karakteristika registriranih hrvatskih klonova autohtonih sorata</w:t>
      </w:r>
    </w:p>
    <w:p w14:paraId="1CF04070" w14:textId="77777777" w:rsidR="00D65C3B" w:rsidRPr="00D65C3B" w:rsidRDefault="00D65C3B" w:rsidP="00D65C3B">
      <w:pPr>
        <w:numPr>
          <w:ilvl w:val="0"/>
          <w:numId w:val="5"/>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provođenje kontrole zdravstvenog stanja u matičnim nasadima visoke kategorije </w:t>
      </w:r>
    </w:p>
    <w:p w14:paraId="47E4D4E4" w14:textId="77777777" w:rsidR="00D65C3B" w:rsidRPr="00D65C3B" w:rsidRDefault="00D65C3B" w:rsidP="00D65C3B">
      <w:pPr>
        <w:numPr>
          <w:ilvl w:val="0"/>
          <w:numId w:val="5"/>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analiza prisutnosti gospodarski štetnih virusa u matičnim nasadima visoke kategorije</w:t>
      </w:r>
    </w:p>
    <w:p w14:paraId="30C7FE41" w14:textId="77777777" w:rsidR="00D65C3B" w:rsidRPr="00D65C3B" w:rsidRDefault="00D65C3B" w:rsidP="00D65C3B">
      <w:pPr>
        <w:numPr>
          <w:ilvl w:val="0"/>
          <w:numId w:val="5"/>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analiza prisutnosti fitoplazmi u matičnim nasadima visoke kategorije</w:t>
      </w:r>
    </w:p>
    <w:p w14:paraId="0371CBC6" w14:textId="77777777" w:rsidR="00D65C3B" w:rsidRPr="00D65C3B" w:rsidRDefault="00D65C3B" w:rsidP="00D65C3B">
      <w:pPr>
        <w:numPr>
          <w:ilvl w:val="0"/>
          <w:numId w:val="5"/>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analiza unutarsortne varijabilnosti najvažnijih introduciranih i autohtonih sorata vinove loze u proizvodnim nasadima </w:t>
      </w:r>
    </w:p>
    <w:p w14:paraId="3FA31B55" w14:textId="77777777" w:rsidR="00D65C3B" w:rsidRPr="00D65C3B" w:rsidRDefault="00D65C3B" w:rsidP="00D65C3B">
      <w:pPr>
        <w:numPr>
          <w:ilvl w:val="0"/>
          <w:numId w:val="5"/>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utvrđivanje fitosanitarnog statusa (gospodarski štetni virusi i fitoplazme) najvažnijih introduciranih i autohtonih sorata vinove loze u proizvodnim nasadima</w:t>
      </w:r>
    </w:p>
    <w:p w14:paraId="6F5C72C1" w14:textId="77777777" w:rsidR="00D65C3B" w:rsidRPr="00D65C3B" w:rsidRDefault="00D65C3B" w:rsidP="00D65C3B">
      <w:pPr>
        <w:numPr>
          <w:ilvl w:val="0"/>
          <w:numId w:val="5"/>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prikupljanje uzoraka plemke izdvojenih bezvirusnih trsova slobodnih od fitoplazmi najvažnijih introduciranih i autohtonih sorata za proizvodnju predbaznog sadnog materijala </w:t>
      </w:r>
    </w:p>
    <w:p w14:paraId="48AB3F03" w14:textId="77777777" w:rsidR="00D65C3B" w:rsidRPr="00D65C3B" w:rsidRDefault="00D65C3B" w:rsidP="00D65C3B">
      <w:pPr>
        <w:numPr>
          <w:ilvl w:val="0"/>
          <w:numId w:val="5"/>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istraživanje potreba za proizvodnjom baznog sadnog materijala registriranih hrvatskih klonova vinove loze za podizanje certificiranih matičnih nasada</w:t>
      </w:r>
    </w:p>
    <w:p w14:paraId="6C9D3B51" w14:textId="77777777" w:rsidR="00D65C3B" w:rsidRPr="00D65C3B" w:rsidRDefault="00D65C3B" w:rsidP="00D65C3B">
      <w:pPr>
        <w:numPr>
          <w:ilvl w:val="0"/>
          <w:numId w:val="5"/>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istraživanje potreba za podizanjem certificiranih matičnih nasada najvažnijih introduciranih i autohtonih sorata vinove loze kod kojih ne postoje registrirani hrvatski klonovi </w:t>
      </w:r>
    </w:p>
    <w:p w14:paraId="66F97B79" w14:textId="77777777" w:rsidR="00D65C3B" w:rsidRPr="00D65C3B" w:rsidRDefault="00D65C3B" w:rsidP="00D65C3B">
      <w:pPr>
        <w:numPr>
          <w:ilvl w:val="0"/>
          <w:numId w:val="5"/>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istraživanje potrebe za provođenje individualne klonske selekcije kod najvažnijih introduciranih i autohtonih sorata vinove loze kod kojih ne postoje registrirani hrvatski klonovi na temelju rezultata istraživanja unutarsortne varijabilnosti i fitosanitarnog statusa. </w:t>
      </w:r>
    </w:p>
    <w:p w14:paraId="0C02C446" w14:textId="77777777" w:rsidR="00D65C3B" w:rsidRPr="00D65C3B" w:rsidRDefault="00D65C3B" w:rsidP="00D65C3B">
      <w:pPr>
        <w:spacing w:before="120" w:after="120" w:line="276" w:lineRule="auto"/>
        <w:jc w:val="both"/>
        <w:rPr>
          <w:rFonts w:ascii="Times New Roman" w:hAnsi="Times New Roman" w:cs="Times New Roman"/>
          <w:lang w:eastAsia="en-US"/>
        </w:rPr>
      </w:pPr>
    </w:p>
    <w:p w14:paraId="613079CF" w14:textId="77777777" w:rsidR="00D65C3B" w:rsidRPr="00D65C3B" w:rsidRDefault="00D65C3B" w:rsidP="00D65C3B">
      <w:pPr>
        <w:spacing w:before="120" w:after="120" w:line="276" w:lineRule="auto"/>
        <w:jc w:val="both"/>
        <w:rPr>
          <w:rFonts w:ascii="Times New Roman" w:hAnsi="Times New Roman" w:cs="Times New Roman"/>
          <w:lang w:eastAsia="en-US"/>
        </w:rPr>
      </w:pPr>
      <w:r w:rsidRPr="00D65C3B">
        <w:rPr>
          <w:rFonts w:ascii="Times New Roman" w:hAnsi="Times New Roman" w:cs="Times New Roman"/>
          <w:lang w:eastAsia="en-US"/>
        </w:rPr>
        <w:t>U okviru ovoga Programa prihvatljivi za financiranje su sljedeći troškovi:</w:t>
      </w:r>
    </w:p>
    <w:p w14:paraId="1BBDE5E0" w14:textId="7A3344E0" w:rsidR="00D65C3B" w:rsidRPr="00D65C3B" w:rsidRDefault="00D65C3B" w:rsidP="00D65C3B">
      <w:pPr>
        <w:numPr>
          <w:ilvl w:val="0"/>
          <w:numId w:val="8"/>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analiz</w:t>
      </w:r>
      <w:r w:rsidR="00DE7407">
        <w:rPr>
          <w:rFonts w:ascii="Times New Roman" w:hAnsi="Times New Roman" w:cs="Times New Roman"/>
          <w:lang w:eastAsia="en-US"/>
        </w:rPr>
        <w:t>a</w:t>
      </w:r>
      <w:r w:rsidRPr="00D65C3B">
        <w:rPr>
          <w:rFonts w:ascii="Times New Roman" w:hAnsi="Times New Roman" w:cs="Times New Roman"/>
          <w:lang w:eastAsia="en-US"/>
        </w:rPr>
        <w:t xml:space="preserve"> biljnog materijala na prisutnost virusa – potrošni materijal i kemikalije</w:t>
      </w:r>
    </w:p>
    <w:p w14:paraId="5F287686" w14:textId="6D5E2132" w:rsidR="00D65C3B" w:rsidRPr="00D65C3B" w:rsidRDefault="00D65C3B" w:rsidP="00D65C3B">
      <w:pPr>
        <w:numPr>
          <w:ilvl w:val="0"/>
          <w:numId w:val="6"/>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analiz</w:t>
      </w:r>
      <w:r w:rsidR="00DE7407">
        <w:rPr>
          <w:rFonts w:ascii="Times New Roman" w:hAnsi="Times New Roman" w:cs="Times New Roman"/>
          <w:lang w:eastAsia="en-US"/>
        </w:rPr>
        <w:t>a</w:t>
      </w:r>
      <w:r w:rsidRPr="00D65C3B">
        <w:rPr>
          <w:rFonts w:ascii="Times New Roman" w:hAnsi="Times New Roman" w:cs="Times New Roman"/>
          <w:lang w:eastAsia="en-US"/>
        </w:rPr>
        <w:t xml:space="preserve"> biljnog materijala na prisutnost fitoplazmi vinove loze – potrošni materijal i kemikalije</w:t>
      </w:r>
    </w:p>
    <w:p w14:paraId="2E57DCB4" w14:textId="77777777" w:rsidR="00D65C3B" w:rsidRPr="00D65C3B" w:rsidRDefault="00D65C3B" w:rsidP="00D65C3B">
      <w:pPr>
        <w:numPr>
          <w:ilvl w:val="0"/>
          <w:numId w:val="6"/>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nabava repromaterijala, zaštitna sredstva</w:t>
      </w:r>
    </w:p>
    <w:p w14:paraId="7BBAC00D" w14:textId="77777777" w:rsidR="00D65C3B" w:rsidRPr="00D65C3B" w:rsidRDefault="00D65C3B" w:rsidP="00D65C3B">
      <w:pPr>
        <w:numPr>
          <w:ilvl w:val="0"/>
          <w:numId w:val="6"/>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agrotehničko održavanje matičnih nasada visoke kategorije</w:t>
      </w:r>
    </w:p>
    <w:p w14:paraId="4666AAAF" w14:textId="77777777" w:rsidR="00D65C3B" w:rsidRPr="00D65C3B" w:rsidRDefault="00D65C3B" w:rsidP="00D65C3B">
      <w:pPr>
        <w:numPr>
          <w:ilvl w:val="0"/>
          <w:numId w:val="6"/>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održavanje objekata matičnih nasada visoke kategorije</w:t>
      </w:r>
    </w:p>
    <w:p w14:paraId="6BAECE11" w14:textId="77777777" w:rsidR="00D65C3B" w:rsidRPr="00D65C3B" w:rsidRDefault="00D65C3B" w:rsidP="00D65C3B">
      <w:pPr>
        <w:numPr>
          <w:ilvl w:val="0"/>
          <w:numId w:val="6"/>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sadni materijal visokih kategorija</w:t>
      </w:r>
    </w:p>
    <w:p w14:paraId="2C2461DB" w14:textId="77777777" w:rsidR="00D65C3B" w:rsidRPr="00D65C3B" w:rsidRDefault="00D65C3B" w:rsidP="00D65C3B">
      <w:pPr>
        <w:numPr>
          <w:ilvl w:val="0"/>
          <w:numId w:val="6"/>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trošak istraživača (min. VSS agronomske struke)   </w:t>
      </w:r>
    </w:p>
    <w:p w14:paraId="0ACAD5D2" w14:textId="77777777" w:rsidR="00D65C3B" w:rsidRPr="00D65C3B" w:rsidRDefault="00D65C3B" w:rsidP="00D65C3B">
      <w:pPr>
        <w:numPr>
          <w:ilvl w:val="0"/>
          <w:numId w:val="6"/>
        </w:num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putni troškovi vezani uz provođenje istraživanja (prikupljanje uzoraka, prezentacija rezultata)</w:t>
      </w:r>
    </w:p>
    <w:p w14:paraId="227982CD" w14:textId="77777777" w:rsidR="00D65C3B" w:rsidRPr="00D65C3B" w:rsidRDefault="00D65C3B" w:rsidP="00D65C3B">
      <w:pPr>
        <w:numPr>
          <w:ilvl w:val="0"/>
          <w:numId w:val="6"/>
        </w:numPr>
        <w:spacing w:before="120" w:after="120" w:line="276" w:lineRule="auto"/>
        <w:contextualSpacing/>
        <w:jc w:val="both"/>
        <w:rPr>
          <w:rFonts w:ascii="Times New Roman" w:hAnsi="Times New Roman" w:cs="Times New Roman"/>
          <w:color w:val="auto"/>
        </w:rPr>
      </w:pPr>
      <w:r w:rsidRPr="00D65C3B">
        <w:rPr>
          <w:rFonts w:ascii="Times New Roman" w:hAnsi="Times New Roman" w:cs="Times New Roman"/>
          <w:lang w:eastAsia="en-US"/>
        </w:rPr>
        <w:t>proces odzdravljivanja vinove loze od virusa</w:t>
      </w:r>
    </w:p>
    <w:p w14:paraId="2A9BBE14" w14:textId="77777777" w:rsidR="00D65C3B" w:rsidRPr="00D65C3B" w:rsidRDefault="00D65C3B" w:rsidP="00D65C3B">
      <w:pPr>
        <w:numPr>
          <w:ilvl w:val="0"/>
          <w:numId w:val="6"/>
        </w:numPr>
        <w:spacing w:before="120" w:after="120" w:line="276" w:lineRule="auto"/>
        <w:contextualSpacing/>
        <w:jc w:val="both"/>
        <w:rPr>
          <w:rFonts w:ascii="Times New Roman" w:hAnsi="Times New Roman" w:cs="Times New Roman"/>
          <w:color w:val="auto"/>
        </w:rPr>
      </w:pPr>
      <w:r w:rsidRPr="00D65C3B">
        <w:rPr>
          <w:rFonts w:ascii="Times New Roman" w:eastAsia="Calibri" w:hAnsi="Times New Roman" w:cs="Times New Roman"/>
          <w:color w:val="auto"/>
          <w:lang w:eastAsia="en-US"/>
        </w:rPr>
        <w:t>nabava opreme za toplinski tretman loznog sadnog materijala</w:t>
      </w:r>
    </w:p>
    <w:p w14:paraId="33D7C34F" w14:textId="77777777" w:rsidR="00D65C3B" w:rsidRPr="00D65C3B" w:rsidRDefault="00D65C3B" w:rsidP="00D65C3B">
      <w:pPr>
        <w:numPr>
          <w:ilvl w:val="0"/>
          <w:numId w:val="6"/>
        </w:numPr>
        <w:spacing w:before="120" w:after="120" w:line="276" w:lineRule="auto"/>
        <w:contextualSpacing/>
        <w:jc w:val="both"/>
        <w:rPr>
          <w:rFonts w:ascii="Times New Roman" w:hAnsi="Times New Roman" w:cs="Times New Roman"/>
          <w:color w:val="auto"/>
        </w:rPr>
      </w:pPr>
      <w:r w:rsidRPr="00D65C3B">
        <w:rPr>
          <w:rFonts w:ascii="Times New Roman" w:hAnsi="Times New Roman" w:cs="Times New Roman"/>
          <w:lang w:eastAsia="en-US"/>
        </w:rPr>
        <w:t>ostale aktivnosti neophodne za provođenje istraživanja usmjerenih na unapređenje kvalitete sadnog materijala loze</w:t>
      </w:r>
      <w:r w:rsidRPr="00D65C3B">
        <w:rPr>
          <w:rFonts w:ascii="Times New Roman" w:hAnsi="Times New Roman" w:cs="Times New Roman"/>
          <w:color w:val="auto"/>
        </w:rPr>
        <w:t>.</w:t>
      </w:r>
    </w:p>
    <w:p w14:paraId="776C7075" w14:textId="77777777" w:rsidR="00D65C3B" w:rsidRPr="00D65C3B" w:rsidRDefault="00D65C3B" w:rsidP="00D65C3B">
      <w:pPr>
        <w:spacing w:before="120" w:after="120" w:line="23" w:lineRule="atLeast"/>
        <w:ind w:left="720"/>
        <w:contextualSpacing/>
        <w:jc w:val="both"/>
        <w:rPr>
          <w:rFonts w:ascii="Times New Roman" w:hAnsi="Times New Roman" w:cs="Times New Roman"/>
          <w:color w:val="auto"/>
        </w:rPr>
      </w:pPr>
    </w:p>
    <w:p w14:paraId="162332A4" w14:textId="77777777" w:rsidR="00D65C3B" w:rsidRPr="00D65C3B" w:rsidRDefault="00D65C3B" w:rsidP="00D65C3B">
      <w:pPr>
        <w:spacing w:before="120" w:after="120" w:line="23" w:lineRule="atLeast"/>
        <w:ind w:left="720"/>
        <w:contextualSpacing/>
        <w:jc w:val="both"/>
        <w:rPr>
          <w:rFonts w:ascii="Times New Roman" w:hAnsi="Times New Roman" w:cs="Times New Roman"/>
          <w:color w:val="auto"/>
        </w:rPr>
      </w:pPr>
    </w:p>
    <w:p w14:paraId="5F5A740D" w14:textId="4E9C5484" w:rsidR="00D65C3B" w:rsidRPr="00D65C3B" w:rsidRDefault="00A447B2" w:rsidP="00D65C3B">
      <w:pPr>
        <w:keepNext/>
        <w:keepLines/>
        <w:spacing w:before="120"/>
        <w:ind w:left="717" w:hanging="360"/>
        <w:jc w:val="both"/>
        <w:outlineLvl w:val="0"/>
        <w:rPr>
          <w:rFonts w:ascii="Times New Roman" w:eastAsiaTheme="majorEastAsia" w:hAnsi="Times New Roman" w:cstheme="majorBidi"/>
          <w:b/>
          <w:color w:val="auto"/>
          <w:szCs w:val="32"/>
        </w:rPr>
      </w:pPr>
      <w:r>
        <w:rPr>
          <w:rFonts w:ascii="Times New Roman" w:eastAsiaTheme="majorEastAsia" w:hAnsi="Times New Roman" w:cstheme="majorBidi"/>
          <w:b/>
          <w:color w:val="auto"/>
          <w:szCs w:val="32"/>
        </w:rPr>
        <w:t>8.</w:t>
      </w:r>
      <w:r w:rsidR="00D65C3B" w:rsidRPr="00D65C3B">
        <w:rPr>
          <w:rFonts w:ascii="Times New Roman" w:eastAsiaTheme="majorEastAsia" w:hAnsi="Times New Roman" w:cstheme="majorBidi"/>
          <w:b/>
          <w:color w:val="auto"/>
          <w:szCs w:val="32"/>
        </w:rPr>
        <w:t xml:space="preserve"> PROVEDBA PROGRAMA </w:t>
      </w:r>
    </w:p>
    <w:p w14:paraId="2C22F296" w14:textId="77777777" w:rsidR="00D65C3B" w:rsidRPr="00D65C3B" w:rsidRDefault="00D65C3B" w:rsidP="00D65C3B">
      <w:pPr>
        <w:spacing w:before="120" w:after="120" w:line="23" w:lineRule="atLeast"/>
        <w:contextualSpacing/>
        <w:jc w:val="both"/>
        <w:rPr>
          <w:rFonts w:ascii="Times New Roman" w:hAnsi="Times New Roman" w:cs="Times New Roman"/>
          <w:lang w:eastAsia="en-US"/>
        </w:rPr>
      </w:pPr>
    </w:p>
    <w:p w14:paraId="53C1327E"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Provedbu mjera iz ovoga Programa ministar propisuje pravilnikom. Nadležno tijelo zaduženo za upravljanje, provedbu i praćenje Programa je Ministarstvo.</w:t>
      </w:r>
    </w:p>
    <w:p w14:paraId="35BAE8FC"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5E88E3E3"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Javni poziv za dodjelu sredstava Programa je otvoreni poziv koji se objavljuje na mrežnim stranicama Ministarstva. Javnim pozivom detaljno će se propisati način podnošenja zahtjeva, rokovi i dokumentacija potrebna za podnošenje zahtjeva, administrativna kontrola zaprimljenih zahtjeva, odobravanje i isplata bespovratnih sredstva, način izvještavanja, kontrola na terenu i povrat. Uvjeti i način provedbe Programa utvrđeni Javnim pozivom su pravno obvezujući. </w:t>
      </w:r>
    </w:p>
    <w:p w14:paraId="449B5B39"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Na temelju objavljenog Javnog poziva podnositelji podnose Zahtjev. </w:t>
      </w:r>
    </w:p>
    <w:p w14:paraId="170778CB"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p w14:paraId="14B1CA7B" w14:textId="77777777" w:rsidR="00D65C3B" w:rsidRPr="00D65C3B" w:rsidRDefault="00D65C3B" w:rsidP="00D65C3B">
      <w:pPr>
        <w:spacing w:before="120" w:after="120" w:line="276" w:lineRule="auto"/>
        <w:contextualSpacing/>
        <w:jc w:val="both"/>
        <w:rPr>
          <w:rFonts w:ascii="Times New Roman" w:hAnsi="Times New Roman" w:cs="Times New Roman"/>
          <w:color w:val="auto"/>
          <w:lang w:eastAsia="en-US"/>
        </w:rPr>
      </w:pPr>
      <w:r w:rsidRPr="00D65C3B">
        <w:rPr>
          <w:rFonts w:ascii="Times New Roman" w:hAnsi="Times New Roman" w:cs="Times New Roman"/>
          <w:color w:val="auto"/>
          <w:lang w:eastAsia="en-US"/>
        </w:rPr>
        <w:t xml:space="preserve">Zahtjev mogu podnijeti prihvatljivi Korisnici koji ispunjavaju uvjete iz točke 4. ovoga Programa. </w:t>
      </w:r>
    </w:p>
    <w:p w14:paraId="03B19625" w14:textId="77777777" w:rsidR="00D65C3B" w:rsidRPr="00D65C3B" w:rsidRDefault="00D65C3B" w:rsidP="00D65C3B">
      <w:pPr>
        <w:spacing w:before="120" w:after="120" w:line="276" w:lineRule="auto"/>
        <w:contextualSpacing/>
        <w:jc w:val="both"/>
        <w:rPr>
          <w:rFonts w:ascii="Times New Roman" w:hAnsi="Times New Roman" w:cs="Times New Roman"/>
          <w:color w:val="auto"/>
          <w:lang w:eastAsia="en-US"/>
        </w:rPr>
      </w:pPr>
    </w:p>
    <w:p w14:paraId="4ED9CB87" w14:textId="15ADC810" w:rsidR="00D65C3B" w:rsidRPr="00D65C3B" w:rsidRDefault="00D65C3B" w:rsidP="00D65C3B">
      <w:pPr>
        <w:spacing w:before="120" w:after="120" w:line="276" w:lineRule="auto"/>
        <w:contextualSpacing/>
        <w:jc w:val="both"/>
        <w:rPr>
          <w:rFonts w:ascii="Times New Roman" w:hAnsi="Times New Roman" w:cs="Times New Roman"/>
          <w:color w:val="auto"/>
          <w:lang w:eastAsia="en-US"/>
        </w:rPr>
      </w:pPr>
      <w:r w:rsidRPr="00D65C3B">
        <w:rPr>
          <w:rFonts w:ascii="Times New Roman" w:hAnsi="Times New Roman" w:cs="Times New Roman"/>
          <w:color w:val="auto"/>
          <w:lang w:eastAsia="en-US"/>
        </w:rPr>
        <w:t xml:space="preserve">Udio bespovratnih sredstva je do 100 % od ukupnog iznosa prihvatljivih troškova Programa. </w:t>
      </w:r>
    </w:p>
    <w:p w14:paraId="1461DBD4" w14:textId="77777777" w:rsidR="00D65C3B" w:rsidRPr="00D65C3B" w:rsidRDefault="00D65C3B" w:rsidP="00D65C3B">
      <w:pPr>
        <w:spacing w:before="120" w:after="120" w:line="276" w:lineRule="auto"/>
        <w:contextualSpacing/>
        <w:jc w:val="both"/>
        <w:rPr>
          <w:rFonts w:ascii="Times New Roman" w:hAnsi="Times New Roman" w:cs="Times New Roman"/>
          <w:color w:val="auto"/>
          <w:lang w:eastAsia="en-US"/>
        </w:rPr>
      </w:pPr>
    </w:p>
    <w:p w14:paraId="093B0912" w14:textId="77777777" w:rsidR="00D65C3B" w:rsidRPr="00D65C3B" w:rsidRDefault="00D65C3B" w:rsidP="00D65C3B">
      <w:pPr>
        <w:spacing w:before="120" w:after="120" w:line="276" w:lineRule="auto"/>
        <w:contextualSpacing/>
        <w:jc w:val="both"/>
        <w:rPr>
          <w:rFonts w:ascii="Times New Roman" w:hAnsi="Times New Roman" w:cs="Times New Roman"/>
          <w:color w:val="auto"/>
          <w:lang w:eastAsia="en-US"/>
        </w:rPr>
      </w:pPr>
      <w:r w:rsidRPr="00D65C3B">
        <w:rPr>
          <w:rFonts w:ascii="Times New Roman" w:hAnsi="Times New Roman" w:cs="Times New Roman"/>
          <w:color w:val="auto"/>
          <w:lang w:eastAsia="en-US"/>
        </w:rPr>
        <w:t xml:space="preserve">Jedan Korisnik može podnijeti najviše jedan Zahtjev za financiranje. Isplata bespovratnih sredstava provodi se roku od 15 radnih dana od sklapanja Ugovora o dodjeli bespovratnih sredstava. </w:t>
      </w:r>
    </w:p>
    <w:p w14:paraId="38D79BBB" w14:textId="77777777" w:rsidR="00D65C3B" w:rsidRPr="00D65C3B" w:rsidRDefault="00D65C3B" w:rsidP="00D65C3B">
      <w:pPr>
        <w:spacing w:before="120" w:after="120" w:line="276" w:lineRule="auto"/>
        <w:contextualSpacing/>
        <w:jc w:val="both"/>
        <w:rPr>
          <w:rFonts w:ascii="Times New Roman" w:hAnsi="Times New Roman" w:cs="Times New Roman"/>
          <w:color w:val="auto"/>
          <w:lang w:eastAsia="en-US"/>
        </w:rPr>
      </w:pPr>
    </w:p>
    <w:p w14:paraId="427E2482" w14:textId="77777777" w:rsidR="00D65C3B" w:rsidRPr="00D65C3B" w:rsidRDefault="00D65C3B" w:rsidP="00D65C3B">
      <w:pPr>
        <w:spacing w:before="120" w:after="120" w:line="276" w:lineRule="auto"/>
        <w:contextualSpacing/>
        <w:jc w:val="both"/>
        <w:rPr>
          <w:rFonts w:ascii="Times New Roman" w:hAnsi="Times New Roman" w:cs="Times New Roman"/>
          <w:color w:val="auto"/>
          <w:lang w:eastAsia="en-US"/>
        </w:rPr>
      </w:pPr>
      <w:r w:rsidRPr="00D65C3B">
        <w:rPr>
          <w:rFonts w:ascii="Times New Roman" w:hAnsi="Times New Roman" w:cs="Times New Roman"/>
          <w:color w:val="auto"/>
          <w:lang w:eastAsia="en-US"/>
        </w:rPr>
        <w:t xml:space="preserve">Ako se nakon zaprimanja svih pristiglih Zahtjeva koji zadovoljavaju kriterije za financiranje, utvrdi da je ukupni iznos Zahtjeva veći od iznosa osiguranih sredstava u Državnom proračunu za ovu namjenu, Ministarstvo će proporcionalno umanjiti jedinične iznose sredstava financiranja. </w:t>
      </w:r>
    </w:p>
    <w:p w14:paraId="7C4B6551" w14:textId="77777777" w:rsidR="00D65C3B" w:rsidRPr="00D65C3B" w:rsidRDefault="00D65C3B" w:rsidP="00D65C3B">
      <w:pPr>
        <w:spacing w:before="120" w:after="120" w:line="276" w:lineRule="auto"/>
        <w:contextualSpacing/>
        <w:jc w:val="both"/>
        <w:rPr>
          <w:rFonts w:ascii="Times New Roman" w:hAnsi="Times New Roman" w:cs="Times New Roman"/>
          <w:color w:val="auto"/>
          <w:lang w:eastAsia="en-US"/>
        </w:rPr>
      </w:pPr>
    </w:p>
    <w:p w14:paraId="737AC950"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r w:rsidRPr="00D65C3B">
        <w:rPr>
          <w:rFonts w:ascii="Times New Roman" w:hAnsi="Times New Roman" w:cs="Times New Roman"/>
          <w:lang w:eastAsia="en-US"/>
        </w:rPr>
        <w:t xml:space="preserve">Ministarstvo zadržava pravo ne dodijeliti sva raspoloživa bespovratna sredstva u okviru ovoga Programa. </w:t>
      </w:r>
    </w:p>
    <w:p w14:paraId="4889E9B0" w14:textId="77777777" w:rsidR="00D65C3B" w:rsidRPr="00D65C3B" w:rsidRDefault="00D65C3B" w:rsidP="00D65C3B">
      <w:pPr>
        <w:spacing w:before="120" w:after="120" w:line="276" w:lineRule="auto"/>
        <w:contextualSpacing/>
        <w:jc w:val="both"/>
        <w:rPr>
          <w:rFonts w:ascii="Times New Roman" w:hAnsi="Times New Roman" w:cs="Times New Roman"/>
          <w:lang w:eastAsia="en-US"/>
        </w:rPr>
      </w:pPr>
    </w:p>
    <w:bookmarkEnd w:id="2"/>
    <w:bookmarkEnd w:id="3"/>
    <w:p w14:paraId="6DD6E6DE" w14:textId="77777777" w:rsidR="00D65C3B" w:rsidRDefault="00D65C3B" w:rsidP="00D65C3B">
      <w:pPr>
        <w:rPr>
          <w:rFonts w:ascii="Times New Roman" w:hAnsi="Times New Roman" w:cs="Times New Roman"/>
          <w:noProof/>
        </w:rPr>
      </w:pPr>
    </w:p>
    <w:p w14:paraId="3791E26D" w14:textId="77777777" w:rsidR="00D65C3B" w:rsidRDefault="00D65C3B" w:rsidP="00D65C3B">
      <w:pPr>
        <w:rPr>
          <w:rFonts w:ascii="Times New Roman" w:hAnsi="Times New Roman" w:cs="Times New Roman"/>
          <w:noProof/>
        </w:rPr>
      </w:pPr>
    </w:p>
    <w:p w14:paraId="3CE8216E" w14:textId="77777777" w:rsidR="00D65C3B" w:rsidRPr="00D65C3B" w:rsidRDefault="00D65C3B" w:rsidP="00D65C3B">
      <w:pPr>
        <w:rPr>
          <w:rFonts w:ascii="Times New Roman" w:hAnsi="Times New Roman" w:cs="Times New Roman"/>
          <w:noProof/>
        </w:rPr>
      </w:pPr>
    </w:p>
    <w:p w14:paraId="180A373F" w14:textId="77777777" w:rsidR="00D65C3B" w:rsidRPr="00143962" w:rsidRDefault="00D65C3B" w:rsidP="00D65C3B">
      <w:pPr>
        <w:rPr>
          <w:rFonts w:ascii="Times New Roman" w:hAnsi="Times New Roman" w:cs="Times New Roman"/>
        </w:rPr>
      </w:pPr>
      <w:r w:rsidRPr="00143962">
        <w:rPr>
          <w:rFonts w:ascii="Times New Roman" w:hAnsi="Times New Roman" w:cs="Times New Roman"/>
        </w:rPr>
        <w:t xml:space="preserve">KLASA: </w:t>
      </w:r>
      <w:r w:rsidRPr="00143962">
        <w:rPr>
          <w:rFonts w:ascii="Times New Roman" w:hAnsi="Times New Roman" w:cs="Times New Roman"/>
        </w:rPr>
        <w:fldChar w:fldCharType="begin">
          <w:ffData>
            <w:name w:val="PredmetKlasa1"/>
            <w:enabled/>
            <w:calcOnExit w:val="0"/>
            <w:textInput/>
          </w:ffData>
        </w:fldChar>
      </w:r>
      <w:r w:rsidRPr="00143962">
        <w:rPr>
          <w:rFonts w:ascii="Times New Roman" w:hAnsi="Times New Roman" w:cs="Times New Roman"/>
        </w:rPr>
        <w:instrText xml:space="preserve"> FORMTEXT </w:instrText>
      </w:r>
      <w:r w:rsidRPr="00143962">
        <w:rPr>
          <w:rFonts w:ascii="Times New Roman" w:hAnsi="Times New Roman" w:cs="Times New Roman"/>
        </w:rPr>
      </w:r>
      <w:r w:rsidRPr="00143962">
        <w:rPr>
          <w:rFonts w:ascii="Times New Roman" w:hAnsi="Times New Roman" w:cs="Times New Roman"/>
        </w:rPr>
        <w:fldChar w:fldCharType="separate"/>
      </w:r>
      <w:r w:rsidRPr="00143962">
        <w:rPr>
          <w:rFonts w:ascii="Times New Roman" w:hAnsi="Times New Roman" w:cs="Times New Roman"/>
        </w:rPr>
        <w:t>320-20/23-05/3</w:t>
      </w:r>
      <w:r w:rsidRPr="00143962">
        <w:rPr>
          <w:rFonts w:ascii="Times New Roman" w:hAnsi="Times New Roman" w:cs="Times New Roman"/>
        </w:rPr>
        <w:fldChar w:fldCharType="end"/>
      </w:r>
    </w:p>
    <w:p w14:paraId="5AF61A31" w14:textId="77777777" w:rsidR="00D65C3B" w:rsidRPr="00143962" w:rsidRDefault="00D65C3B" w:rsidP="00D65C3B">
      <w:pPr>
        <w:rPr>
          <w:rFonts w:ascii="Times New Roman" w:hAnsi="Times New Roman" w:cs="Times New Roman"/>
        </w:rPr>
      </w:pPr>
      <w:r w:rsidRPr="00143962">
        <w:rPr>
          <w:rFonts w:ascii="Times New Roman" w:hAnsi="Times New Roman" w:cs="Times New Roman"/>
        </w:rPr>
        <w:t xml:space="preserve">URBROJ: </w:t>
      </w:r>
      <w:r w:rsidRPr="00143962">
        <w:rPr>
          <w:rFonts w:ascii="Times New Roman" w:hAnsi="Times New Roman" w:cs="Times New Roman"/>
        </w:rPr>
        <w:fldChar w:fldCharType="begin">
          <w:ffData>
            <w:name w:val="PismenoUrBroj1"/>
            <w:enabled/>
            <w:calcOnExit w:val="0"/>
            <w:textInput/>
          </w:ffData>
        </w:fldChar>
      </w:r>
      <w:r w:rsidRPr="00143962">
        <w:rPr>
          <w:rFonts w:ascii="Times New Roman" w:hAnsi="Times New Roman" w:cs="Times New Roman"/>
        </w:rPr>
        <w:instrText xml:space="preserve"> FORMTEXT </w:instrText>
      </w:r>
      <w:r w:rsidRPr="00143962">
        <w:rPr>
          <w:rFonts w:ascii="Times New Roman" w:hAnsi="Times New Roman" w:cs="Times New Roman"/>
        </w:rPr>
      </w:r>
      <w:r w:rsidRPr="00143962">
        <w:rPr>
          <w:rFonts w:ascii="Times New Roman" w:hAnsi="Times New Roman" w:cs="Times New Roman"/>
        </w:rPr>
        <w:fldChar w:fldCharType="separate"/>
      </w:r>
      <w:r w:rsidRPr="00143962">
        <w:rPr>
          <w:rFonts w:ascii="Times New Roman" w:hAnsi="Times New Roman" w:cs="Times New Roman"/>
        </w:rPr>
        <w:t>525-06/245-24-20</w:t>
      </w:r>
      <w:r w:rsidRPr="00143962">
        <w:rPr>
          <w:rFonts w:ascii="Times New Roman" w:hAnsi="Times New Roman" w:cs="Times New Roman"/>
        </w:rPr>
        <w:fldChar w:fldCharType="end"/>
      </w:r>
    </w:p>
    <w:p w14:paraId="2E57AD62" w14:textId="0ED71F19" w:rsidR="00D65C3B" w:rsidRPr="00143962" w:rsidRDefault="00D65C3B" w:rsidP="00D65C3B">
      <w:pPr>
        <w:rPr>
          <w:rFonts w:ascii="Times New Roman" w:hAnsi="Times New Roman" w:cs="Times New Roman"/>
        </w:rPr>
      </w:pPr>
      <w:r w:rsidRPr="00143962">
        <w:rPr>
          <w:rFonts w:ascii="Times New Roman" w:hAnsi="Times New Roman" w:cs="Times New Roman"/>
          <w:noProof/>
        </w:rPr>
        <w:fldChar w:fldCharType="begin">
          <w:ffData>
            <w:name w:val="NadOrgJedNaselje1"/>
            <w:enabled/>
            <w:calcOnExit w:val="0"/>
            <w:textInput/>
          </w:ffData>
        </w:fldChar>
      </w:r>
      <w:r w:rsidRPr="00143962">
        <w:rPr>
          <w:rFonts w:ascii="Times New Roman" w:hAnsi="Times New Roman" w:cs="Times New Roman"/>
          <w:noProof/>
        </w:rPr>
        <w:instrText xml:space="preserve"> FORMTEXT </w:instrText>
      </w:r>
      <w:r w:rsidRPr="00143962">
        <w:rPr>
          <w:rFonts w:ascii="Times New Roman" w:hAnsi="Times New Roman" w:cs="Times New Roman"/>
          <w:noProof/>
        </w:rPr>
      </w:r>
      <w:r w:rsidRPr="00143962">
        <w:rPr>
          <w:rFonts w:ascii="Times New Roman" w:hAnsi="Times New Roman" w:cs="Times New Roman"/>
          <w:noProof/>
        </w:rPr>
        <w:fldChar w:fldCharType="separate"/>
      </w:r>
      <w:r w:rsidRPr="00143962">
        <w:rPr>
          <w:rFonts w:ascii="Times New Roman" w:hAnsi="Times New Roman" w:cs="Times New Roman"/>
          <w:noProof/>
        </w:rPr>
        <w:t>Zagreb</w:t>
      </w:r>
      <w:r w:rsidRPr="00143962">
        <w:rPr>
          <w:rFonts w:ascii="Times New Roman" w:hAnsi="Times New Roman" w:cs="Times New Roman"/>
          <w:noProof/>
        </w:rPr>
        <w:fldChar w:fldCharType="end"/>
      </w:r>
      <w:r w:rsidRPr="00143962">
        <w:rPr>
          <w:rFonts w:ascii="Times New Roman" w:hAnsi="Times New Roman" w:cs="Times New Roman"/>
        </w:rPr>
        <w:t xml:space="preserve">, </w:t>
      </w:r>
      <w:r w:rsidRPr="00143962">
        <w:rPr>
          <w:rFonts w:ascii="Times New Roman" w:hAnsi="Times New Roman" w:cs="Times New Roman"/>
        </w:rPr>
        <w:fldChar w:fldCharType="begin">
          <w:ffData>
            <w:name w:val="PismenoDatNastanka1"/>
            <w:enabled/>
            <w:calcOnExit w:val="0"/>
            <w:textInput>
              <w:type w:val="date"/>
              <w:format w:val="dd. MMMM yyyy."/>
            </w:textInput>
          </w:ffData>
        </w:fldChar>
      </w:r>
      <w:r w:rsidRPr="00143962">
        <w:rPr>
          <w:rFonts w:ascii="Times New Roman" w:hAnsi="Times New Roman" w:cs="Times New Roman"/>
        </w:rPr>
        <w:instrText xml:space="preserve"> FORMTEXT </w:instrText>
      </w:r>
      <w:r w:rsidRPr="00143962">
        <w:rPr>
          <w:rFonts w:ascii="Times New Roman" w:hAnsi="Times New Roman" w:cs="Times New Roman"/>
        </w:rPr>
      </w:r>
      <w:r w:rsidRPr="00143962">
        <w:rPr>
          <w:rFonts w:ascii="Times New Roman" w:hAnsi="Times New Roman" w:cs="Times New Roman"/>
        </w:rPr>
        <w:fldChar w:fldCharType="separate"/>
      </w:r>
      <w:r w:rsidR="002507C0">
        <w:rPr>
          <w:rFonts w:ascii="Times New Roman" w:hAnsi="Times New Roman" w:cs="Times New Roman"/>
        </w:rPr>
        <w:t>22</w:t>
      </w:r>
      <w:r w:rsidRPr="00143962">
        <w:rPr>
          <w:rFonts w:ascii="Times New Roman" w:hAnsi="Times New Roman" w:cs="Times New Roman"/>
        </w:rPr>
        <w:t>. srpnja 2024.</w:t>
      </w:r>
      <w:r w:rsidRPr="00143962">
        <w:rPr>
          <w:rFonts w:ascii="Times New Roman" w:hAnsi="Times New Roman" w:cs="Times New Roman"/>
        </w:rPr>
        <w:fldChar w:fldCharType="end"/>
      </w:r>
    </w:p>
    <w:p w14:paraId="6863BBFF" w14:textId="77777777" w:rsidR="00D65C3B" w:rsidRPr="00D65C3B" w:rsidRDefault="00D65C3B" w:rsidP="00D65C3B">
      <w:pPr>
        <w:rPr>
          <w:rFonts w:ascii="Times New Roman" w:hAnsi="Times New Roman" w:cs="Times New Roman"/>
          <w:noProof/>
        </w:rPr>
      </w:pPr>
    </w:p>
    <w:p w14:paraId="55300E76" w14:textId="77777777" w:rsidR="00D65C3B" w:rsidRPr="00D65C3B" w:rsidRDefault="00D65C3B" w:rsidP="00D65C3B">
      <w:pPr>
        <w:rPr>
          <w:rFonts w:ascii="Times New Roman" w:hAnsi="Times New Roman" w:cs="Times New Roman"/>
        </w:rPr>
      </w:pPr>
    </w:p>
    <w:p w14:paraId="0B4DD29B" w14:textId="77777777" w:rsidR="00695D12" w:rsidRPr="00143962" w:rsidRDefault="00695D12" w:rsidP="00D65C3B">
      <w:pPr>
        <w:ind w:left="3540"/>
        <w:jc w:val="center"/>
        <w:rPr>
          <w:rFonts w:ascii="Times New Roman" w:hAnsi="Times New Roman" w:cs="Times New Roman"/>
        </w:rPr>
      </w:pPr>
    </w:p>
    <w:sectPr w:rsidR="00695D12" w:rsidRPr="00143962" w:rsidSect="0044601F">
      <w:type w:val="continuous"/>
      <w:pgSz w:w="11906" w:h="16838" w:code="9"/>
      <w:pgMar w:top="1417" w:right="1417" w:bottom="1417" w:left="1417"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rolinaBar-B39-25F2">
    <w:altName w:val="Arial"/>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2D2"/>
    <w:multiLevelType w:val="hybridMultilevel"/>
    <w:tmpl w:val="BFCEDFEC"/>
    <w:lvl w:ilvl="0" w:tplc="324A8C88">
      <w:start w:val="1"/>
      <w:numFmt w:val="bullet"/>
      <w:lvlText w:val=""/>
      <w:lvlJc w:val="center"/>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002DAC"/>
    <w:multiLevelType w:val="hybridMultilevel"/>
    <w:tmpl w:val="7BEEE4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1A44777"/>
    <w:multiLevelType w:val="hybridMultilevel"/>
    <w:tmpl w:val="A95233C8"/>
    <w:lvl w:ilvl="0" w:tplc="F99435EC">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9CA5AB6"/>
    <w:multiLevelType w:val="hybridMultilevel"/>
    <w:tmpl w:val="A3DA71E2"/>
    <w:lvl w:ilvl="0" w:tplc="324A8C88">
      <w:start w:val="1"/>
      <w:numFmt w:val="bullet"/>
      <w:lvlText w:val=""/>
      <w:lvlJc w:val="center"/>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D6B168E"/>
    <w:multiLevelType w:val="hybridMultilevel"/>
    <w:tmpl w:val="1B1A0FD2"/>
    <w:lvl w:ilvl="0" w:tplc="324A8C88">
      <w:start w:val="1"/>
      <w:numFmt w:val="bullet"/>
      <w:lvlText w:val=""/>
      <w:lvlJc w:val="center"/>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F237FBB"/>
    <w:multiLevelType w:val="hybridMultilevel"/>
    <w:tmpl w:val="DBF27D58"/>
    <w:lvl w:ilvl="0" w:tplc="324A8C88">
      <w:start w:val="1"/>
      <w:numFmt w:val="bullet"/>
      <w:lvlText w:val=""/>
      <w:lvlJc w:val="center"/>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A4E6F71"/>
    <w:multiLevelType w:val="hybridMultilevel"/>
    <w:tmpl w:val="02CE12BA"/>
    <w:lvl w:ilvl="0" w:tplc="3B9095D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C093E45"/>
    <w:multiLevelType w:val="hybridMultilevel"/>
    <w:tmpl w:val="E6088202"/>
    <w:lvl w:ilvl="0" w:tplc="3C9C91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69D673FB"/>
    <w:multiLevelType w:val="hybridMultilevel"/>
    <w:tmpl w:val="63703D2C"/>
    <w:lvl w:ilvl="0" w:tplc="324A8C88">
      <w:start w:val="1"/>
      <w:numFmt w:val="bullet"/>
      <w:lvlText w:val=""/>
      <w:lvlJc w:val="center"/>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4"/>
  </w:num>
  <w:num w:numId="4">
    <w:abstractNumId w:val="0"/>
  </w:num>
  <w:num w:numId="5">
    <w:abstractNumId w:val="3"/>
  </w:num>
  <w:num w:numId="6">
    <w:abstractNumId w:val="5"/>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C3B"/>
    <w:rsid w:val="000703C6"/>
    <w:rsid w:val="000C4052"/>
    <w:rsid w:val="002507C0"/>
    <w:rsid w:val="00393C45"/>
    <w:rsid w:val="004E06C4"/>
    <w:rsid w:val="0054248C"/>
    <w:rsid w:val="00583BAC"/>
    <w:rsid w:val="00607345"/>
    <w:rsid w:val="006277DE"/>
    <w:rsid w:val="006753C8"/>
    <w:rsid w:val="00695D12"/>
    <w:rsid w:val="006B1BCF"/>
    <w:rsid w:val="008355C8"/>
    <w:rsid w:val="00850BBB"/>
    <w:rsid w:val="008B74DD"/>
    <w:rsid w:val="009C02B1"/>
    <w:rsid w:val="00A447B2"/>
    <w:rsid w:val="00AB5CDA"/>
    <w:rsid w:val="00AE17B8"/>
    <w:rsid w:val="00B8786B"/>
    <w:rsid w:val="00B94016"/>
    <w:rsid w:val="00CB64BE"/>
    <w:rsid w:val="00D2478A"/>
    <w:rsid w:val="00D65C3B"/>
    <w:rsid w:val="00DE7407"/>
    <w:rsid w:val="00E06549"/>
    <w:rsid w:val="00E7390E"/>
    <w:rsid w:val="00EA30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DD279"/>
  <w15:docId w15:val="{ACBA3549-8D9C-406A-BE38-2A47D255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B64B8"/>
    <w:rPr>
      <w:color w:val="808080"/>
    </w:rPr>
  </w:style>
  <w:style w:type="paragraph" w:styleId="BalloonText">
    <w:name w:val="Balloon Text"/>
    <w:basedOn w:val="Normal"/>
    <w:link w:val="BalloonTextChar"/>
    <w:rsid w:val="00AE5017"/>
    <w:rPr>
      <w:rFonts w:ascii="Segoe UI" w:hAnsi="Segoe UI" w:cs="Segoe UI"/>
      <w:sz w:val="18"/>
      <w:szCs w:val="18"/>
    </w:rPr>
  </w:style>
  <w:style w:type="character" w:customStyle="1" w:styleId="BalloonTextChar">
    <w:name w:val="Balloon Text Char"/>
    <w:link w:val="BalloonText"/>
    <w:rsid w:val="00AE5017"/>
    <w:rPr>
      <w:rFonts w:ascii="Segoe UI" w:hAnsi="Segoe UI" w:cs="Segoe UI"/>
      <w:sz w:val="18"/>
      <w:szCs w:val="18"/>
    </w:rPr>
  </w:style>
  <w:style w:type="paragraph" w:styleId="Header">
    <w:name w:val="header"/>
    <w:basedOn w:val="Normal"/>
    <w:link w:val="HeaderChar"/>
    <w:rsid w:val="00143962"/>
    <w:pPr>
      <w:tabs>
        <w:tab w:val="center" w:pos="4536"/>
        <w:tab w:val="right" w:pos="9072"/>
      </w:tabs>
    </w:pPr>
  </w:style>
  <w:style w:type="character" w:customStyle="1" w:styleId="HeaderChar">
    <w:name w:val="Header Char"/>
    <w:link w:val="Header"/>
    <w:rsid w:val="00143962"/>
    <w:rPr>
      <w:rFonts w:ascii="Arial" w:hAnsi="Arial" w:cs="Arial"/>
      <w:color w:val="000000"/>
      <w:sz w:val="24"/>
      <w:szCs w:val="24"/>
    </w:rPr>
  </w:style>
  <w:style w:type="paragraph" w:styleId="Footer">
    <w:name w:val="footer"/>
    <w:basedOn w:val="Normal"/>
    <w:link w:val="FooterChar"/>
    <w:rsid w:val="00143962"/>
    <w:pPr>
      <w:tabs>
        <w:tab w:val="center" w:pos="4536"/>
        <w:tab w:val="right" w:pos="9072"/>
      </w:tabs>
    </w:pPr>
  </w:style>
  <w:style w:type="character" w:customStyle="1" w:styleId="FooterChar">
    <w:name w:val="Footer Char"/>
    <w:link w:val="Footer"/>
    <w:rsid w:val="00143962"/>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fisportal.mps.hr/hr/sve/dokumenti-obrasc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fisportal.mps.hr/hr/sve/dokumenti-obrasci/" TargetMode="External"/><Relationship Id="rId5" Type="http://schemas.openxmlformats.org/officeDocument/2006/relationships/styles" Target="styles.xml"/><Relationship Id="rId10" Type="http://schemas.openxmlformats.org/officeDocument/2006/relationships/chart" Target="charts/chart2.xml"/><Relationship Id="rId4" Type="http://schemas.openxmlformats.org/officeDocument/2006/relationships/numbering" Target="numbering.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[računanje.xlsx]List1!$S$5</c:f>
              <c:strCache>
                <c:ptCount val="1"/>
                <c:pt idx="0">
                  <c:v>cert</c:v>
                </c:pt>
              </c:strCache>
            </c:strRef>
          </c:tx>
          <c:spPr>
            <a:solidFill>
              <a:schemeClr val="accent1"/>
            </a:solidFill>
            <a:ln>
              <a:noFill/>
            </a:ln>
            <a:effectLst/>
          </c:spPr>
          <c:invertIfNegative val="0"/>
          <c:cat>
            <c:strRef>
              <c:f>[računanje.xlsx]List1!$R$6:$R$12</c:f>
              <c:strCache>
                <c:ptCount val="7"/>
                <c:pt idx="0">
                  <c:v>2017</c:v>
                </c:pt>
                <c:pt idx="1">
                  <c:v>2018</c:v>
                </c:pt>
                <c:pt idx="2">
                  <c:v>2019</c:v>
                </c:pt>
                <c:pt idx="3">
                  <c:v>2020</c:v>
                </c:pt>
                <c:pt idx="4">
                  <c:v>2021</c:v>
                </c:pt>
                <c:pt idx="5">
                  <c:v>2022</c:v>
                </c:pt>
                <c:pt idx="6">
                  <c:v>prosjek </c:v>
                </c:pt>
              </c:strCache>
            </c:strRef>
          </c:cat>
          <c:val>
            <c:numRef>
              <c:f>[računanje.xlsx]List1!$S$6:$S$12</c:f>
              <c:numCache>
                <c:formatCode>#,##0.00</c:formatCode>
                <c:ptCount val="7"/>
                <c:pt idx="0">
                  <c:v>1096475</c:v>
                </c:pt>
                <c:pt idx="1">
                  <c:v>748936</c:v>
                </c:pt>
                <c:pt idx="2">
                  <c:v>639600</c:v>
                </c:pt>
                <c:pt idx="3">
                  <c:v>796161</c:v>
                </c:pt>
                <c:pt idx="4">
                  <c:v>626505</c:v>
                </c:pt>
                <c:pt idx="5">
                  <c:v>409476</c:v>
                </c:pt>
                <c:pt idx="6">
                  <c:v>719525.5</c:v>
                </c:pt>
              </c:numCache>
            </c:numRef>
          </c:val>
          <c:extLst>
            <c:ext xmlns:c16="http://schemas.microsoft.com/office/drawing/2014/chart" uri="{C3380CC4-5D6E-409C-BE32-E72D297353CC}">
              <c16:uniqueId val="{00000000-B0F4-407D-92B7-786BBF625415}"/>
            </c:ext>
          </c:extLst>
        </c:ser>
        <c:ser>
          <c:idx val="1"/>
          <c:order val="1"/>
          <c:tx>
            <c:strRef>
              <c:f>[računanje.xlsx]List1!$T$5</c:f>
              <c:strCache>
                <c:ptCount val="1"/>
                <c:pt idx="0">
                  <c:v>standard</c:v>
                </c:pt>
              </c:strCache>
            </c:strRef>
          </c:tx>
          <c:spPr>
            <a:solidFill>
              <a:srgbClr val="FFFF00"/>
            </a:solidFill>
            <a:ln>
              <a:noFill/>
            </a:ln>
            <a:effectLst/>
          </c:spPr>
          <c:invertIfNegative val="0"/>
          <c:cat>
            <c:strRef>
              <c:f>[računanje.xlsx]List1!$R$6:$R$12</c:f>
              <c:strCache>
                <c:ptCount val="7"/>
                <c:pt idx="0">
                  <c:v>2017</c:v>
                </c:pt>
                <c:pt idx="1">
                  <c:v>2018</c:v>
                </c:pt>
                <c:pt idx="2">
                  <c:v>2019</c:v>
                </c:pt>
                <c:pt idx="3">
                  <c:v>2020</c:v>
                </c:pt>
                <c:pt idx="4">
                  <c:v>2021</c:v>
                </c:pt>
                <c:pt idx="5">
                  <c:v>2022</c:v>
                </c:pt>
                <c:pt idx="6">
                  <c:v>prosjek </c:v>
                </c:pt>
              </c:strCache>
            </c:strRef>
          </c:cat>
          <c:val>
            <c:numRef>
              <c:f>[računanje.xlsx]List1!$T$6:$T$12</c:f>
              <c:numCache>
                <c:formatCode>#,##0.00</c:formatCode>
                <c:ptCount val="7"/>
                <c:pt idx="0">
                  <c:v>824097</c:v>
                </c:pt>
                <c:pt idx="1">
                  <c:v>881070</c:v>
                </c:pt>
                <c:pt idx="2">
                  <c:v>664619</c:v>
                </c:pt>
                <c:pt idx="3">
                  <c:v>738929</c:v>
                </c:pt>
                <c:pt idx="4">
                  <c:v>883107</c:v>
                </c:pt>
                <c:pt idx="5">
                  <c:v>629864</c:v>
                </c:pt>
                <c:pt idx="6">
                  <c:v>770281</c:v>
                </c:pt>
              </c:numCache>
            </c:numRef>
          </c:val>
          <c:extLst>
            <c:ext xmlns:c16="http://schemas.microsoft.com/office/drawing/2014/chart" uri="{C3380CC4-5D6E-409C-BE32-E72D297353CC}">
              <c16:uniqueId val="{00000001-B0F4-407D-92B7-786BBF625415}"/>
            </c:ext>
          </c:extLst>
        </c:ser>
        <c:dLbls>
          <c:showLegendKey val="0"/>
          <c:showVal val="0"/>
          <c:showCatName val="0"/>
          <c:showSerName val="0"/>
          <c:showPercent val="0"/>
          <c:showBubbleSize val="0"/>
        </c:dLbls>
        <c:gapWidth val="150"/>
        <c:overlap val="100"/>
        <c:axId val="1408539440"/>
        <c:axId val="1408539920"/>
      </c:barChart>
      <c:catAx>
        <c:axId val="1408539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408539920"/>
        <c:crosses val="autoZero"/>
        <c:auto val="1"/>
        <c:lblAlgn val="ctr"/>
        <c:lblOffset val="100"/>
        <c:noMultiLvlLbl val="0"/>
      </c:catAx>
      <c:valAx>
        <c:axId val="14085399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408539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spPr>
            <a:solidFill>
              <a:srgbClr val="00B0F0"/>
            </a:solidFill>
          </c:spPr>
          <c:dPt>
            <c:idx val="0"/>
            <c:bubble3D val="0"/>
            <c:spPr>
              <a:solidFill>
                <a:srgbClr val="FFFF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6F4-44B1-93D2-4B47722EAD3C}"/>
              </c:ext>
            </c:extLst>
          </c:dPt>
          <c:dPt>
            <c:idx val="1"/>
            <c:bubble3D val="0"/>
            <c:spPr>
              <a:solidFill>
                <a:srgbClr val="00B0F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6F4-44B1-93D2-4B47722EAD3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[računanje.xlsx]List7!$L$9:$M$9</c:f>
              <c:strCache>
                <c:ptCount val="2"/>
                <c:pt idx="0">
                  <c:v>Autohtone sorte standard</c:v>
                </c:pt>
                <c:pt idx="1">
                  <c:v>Autohtone sorte certificirano</c:v>
                </c:pt>
              </c:strCache>
            </c:strRef>
          </c:cat>
          <c:val>
            <c:numRef>
              <c:f>[računanje.xlsx]List7!$L$10:$M$10</c:f>
              <c:numCache>
                <c:formatCode>General</c:formatCode>
                <c:ptCount val="2"/>
                <c:pt idx="0">
                  <c:v>375161</c:v>
                </c:pt>
                <c:pt idx="1">
                  <c:v>58626</c:v>
                </c:pt>
              </c:numCache>
            </c:numRef>
          </c:val>
          <c:extLst>
            <c:ext xmlns:c16="http://schemas.microsoft.com/office/drawing/2014/chart" uri="{C3380CC4-5D6E-409C-BE32-E72D297353CC}">
              <c16:uniqueId val="{00000004-86F4-44B1-93D2-4B47722EAD3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solidFill>
        <a:schemeClr val="dk1">
          <a:lumMod val="25000"/>
          <a:lumOff val="7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3333194EE404B8C4C6EE807BE43EB" ma:contentTypeVersion="2" ma:contentTypeDescription="Create a new document." ma:contentTypeScope="" ma:versionID="9b029a7e8e134c4640d222e8a54f2064">
  <xsd:schema xmlns:xsd="http://www.w3.org/2001/XMLSchema" xmlns:xs="http://www.w3.org/2001/XMLSchema" xmlns:p="http://schemas.microsoft.com/office/2006/metadata/properties" xmlns:ns2="a0e3101f-3b82-4b9b-9102-4b7e9eb7e3ac" targetNamespace="http://schemas.microsoft.com/office/2006/metadata/properties" ma:root="true" ma:fieldsID="3e5554f455c024e3f6c227672ca54e5a" ns2:_="">
    <xsd:import namespace="a0e3101f-3b82-4b9b-9102-4b7e9eb7e3a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3101f-3b82-4b9b-9102-4b7e9eb7e3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0C305-00D0-411C-98A1-235BB2EFC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3101f-3b82-4b9b-9102-4b7e9eb7e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D5D112-45BE-4900-A88E-16246955EED2}">
  <ds:schemaRefs>
    <ds:schemaRef ds:uri="http://schemas.microsoft.com/sharepoint/v3/contenttype/forms"/>
  </ds:schemaRefs>
</ds:datastoreItem>
</file>

<file path=customXml/itemProps3.xml><?xml version="1.0" encoding="utf-8"?>
<ds:datastoreItem xmlns:ds="http://schemas.openxmlformats.org/officeDocument/2006/customXml" ds:itemID="{7233A13B-56F9-4A07-925E-AC418D3710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4155</Words>
  <Characters>23686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Predlozak</vt:lpstr>
    </vt:vector>
  </TitlesOfParts>
  <Company>RH-TDU</Company>
  <LinksUpToDate>false</LinksUpToDate>
  <CharactersWithSpaces>27786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Emanuela Belšak</dc:creator>
  <cp:lastModifiedBy>Marina Tatalović</cp:lastModifiedBy>
  <cp:revision>2</cp:revision>
  <cp:lastPrinted>2014-01-14T17:40:00Z</cp:lastPrinted>
  <dcterms:created xsi:type="dcterms:W3CDTF">2024-07-24T09:49:00Z</dcterms:created>
  <dcterms:modified xsi:type="dcterms:W3CDTF">2024-07-24T09:49:00Z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0x010100A493333194EE404B8C4C6EE807BE43EB</vt:lpwstr>
  </property>
</Properties>
</file>